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UStatG 2005 — Aufbereitung und Veröffentlichung der abfallstatistischen Erhebungen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Das Statistische Bundesamt bereitet die Erhebungen nach den §§ 3 bis 5a jährlich in Form von Bilanzen auf, die Aufkommen, Verwertung und Beseitigung von Abfällen darstellen.</w:t>
      </w:r>
    </w:p>
    <w:p>
      <w:r>
        <w:t xml:space="preserve">(2) Das Statistische Bundesamt veröffentlicht die Ergebnisse der Erhebungen nach den §§ 3 bis 5a sowie die Bilanzen nach Absatz 1 spätestens 18 Monate nach Ablauf des Berichtsjahres.</w:t>
      </w:r>
    </w:p>
    <w:p>
      <w:r>
        <w:rPr>
          <w:color w:val="555555"/>
          <w:sz w:val="17"/>
        </w:rPr>
        <w:t xml:space="preserve">Zitiervorschlag: § 6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