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UStatG 2005 — Erhebung der Entsorgung bestimmter Abfälle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Erhebung erfasst alle zwei Jahre, beginnend mit dem Berichtsjahr 2006, bei den Betreibern von Anlagen zur Aufbereitung und Verwertung von Bau- und Abbruchabfällen die Erhebungsmerkmale</w:t>
      </w:r>
    </w:p>
    <w:p>
      <w:pPr>
        <w:ind w:left="420"/>
      </w:pPr>
      <w:r>
        <w:t xml:space="preserve">1. in der Anlage eingesetzte Art und Menge an Abfällen,</w:t>
      </w:r>
    </w:p>
    <w:p>
      <w:pPr>
        <w:ind w:left="420"/>
      </w:pPr>
      <w:r>
        <w:t xml:space="preserve">2. Art und Menge der gewonnenen Erzeugnisse und der entstandenen Abfälle,</w:t>
      </w:r>
    </w:p>
    <w:p>
      <w:pPr>
        <w:ind w:left="420"/>
      </w:pPr>
      <w:r>
        <w:t xml:space="preserve">3. Anzahl, Art und Ort der Anlage,</w:t>
      </w:r>
    </w:p>
    <w:p>
      <w:pPr>
        <w:ind w:left="420"/>
      </w:pPr>
      <w:r>
        <w:t xml:space="preserve">4. Kapazität der Anlage.</w:t>
      </w:r>
    </w:p>
    <w:p>
      <w:r>
        <w:t xml:space="preserve">Erstreckt sich der Einsatz nicht stationärer Anlagen über mehrere Länder, werden die Erhebungsmerkmale getrennt für jedes Land erfasst.</w:t>
      </w:r>
    </w:p>
    <w:p>
      <w:r>
        <w:t xml:space="preserve">(2) Die Erhebung erfasst jährlich, beginnend mit dem Berichtsjahr 2022, bei den Unternehmen, die Abfälle aus Verpackungen nach § 15 Absatz 1 Satz 1 des Verpackungsgesetzes in der jeweils geltenden Fassung sowie Abfälle aus pfandpflichtigen Einweggetränkeverpackungen nach § 31 Absatz 1 Satz 1 des Verpackungsgesetzes einsammeln oder entsorgen, die Erhebungsmerkmale Art, Menge und Verbleib dieser Abfälle aus Verpackungen.</w:t>
      </w:r>
    </w:p>
    <w:p>
      <w:r>
        <w:t xml:space="preserve">(3) Die Erhebung erfasst jährlich, beginnend mit dem Berichtsjahr 2006, bei den Unternehmen, Einrichtungen und öffentlich-rechtlichen Entsorgungsträgern, die mit der Sammlung, Behandlung oder Entsorgung von Elektro- und Elektronikaltgeräten nach dem Elektro- und Elektronikgerätegesetz vom 20. Oktober 2015 (BGBl. I S. 1739) in der jeweils geltenden Fassung befasst sind, die Erhebungsmerkmale Art, Menge und Verbleib der Geräte.</w:t>
      </w:r>
    </w:p>
    <w:p>
      <w:r>
        <w:rPr>
          <w:color w:val="555555"/>
          <w:sz w:val="17"/>
        </w:rPr>
        <w:t xml:space="preserve">Zitiervorschlag: § 5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