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UStatG 2005 — Erhebung der Abfälle, über die Nachweise zu führen sind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erfasst jährlich, beginnend mit dem Berichtsjahr 2006, bei den zuständigen Behörden</w:t>
      </w:r>
    </w:p>
    <w:p>
      <w:pPr>
        <w:ind w:left="420"/>
      </w:pPr>
      <w:r>
        <w:t xml:space="preserve">1. für gefährliche Abfälle, über die Nachweise zu führen sind, die Erhebungsmerkmale</w:t>
      </w:r>
    </w:p>
    <w:p>
      <w:pPr>
        <w:ind w:left="780"/>
      </w:pPr>
      <w:r>
        <w:t xml:space="preserve">a) Art und Menge der vom Erzeuger abgegebenen oder in eigenen Anlagen oder anderweitig behandelten, gelagerten und abgelagerten Abfälle,</w:t>
      </w:r>
    </w:p>
    <w:p>
      <w:pPr>
        <w:ind w:left="780"/>
      </w:pPr>
      <w:r>
        <w:t xml:space="preserve">b) Abfallerzeuger nach Wirtschaftszweigen sowie deren Erzeugernummer,</w:t>
      </w:r>
    </w:p>
    <w:p>
      <w:pPr>
        <w:ind w:left="420"/>
      </w:pPr>
      <w:r>
        <w:t xml:space="preserve">2. für die Verbringung von Abfällen in den, durch den und aus dem Geltungsbereich dieses Gesetzes die Erhebungsmerkmale</w:t>
      </w:r>
    </w:p>
    <w:p>
      <w:pPr>
        <w:ind w:left="780"/>
      </w:pPr>
      <w:r>
        <w:t xml:space="preserve">a) Art und Menge der Abfälle nach Herkunfts- und Empfängerstaat,</w:t>
      </w:r>
    </w:p>
    <w:p>
      <w:pPr>
        <w:ind w:left="780"/>
      </w:pPr>
      <w:r>
        <w:t xml:space="preserve">b) Art der Beseitigung und Verwertung.</w:t>
      </w:r>
    </w:p>
    <w:p>
      <w:r>
        <w:rPr>
          <w:color w:val="555555"/>
          <w:sz w:val="17"/>
        </w:rPr>
        <w:t xml:space="preserve">Zitiervorschlag: § 4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