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UStatG 2005 — Erhebung der Abfallentsorgung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(1) Die Erhebung erfasst, beginnend mit dem Berichtsjahr 2006, bei den Betreibern von zulassungsbedürftigen Anlagen, in denen Abfälle entsorgt werden, folgende Erhebungsmerkmale:</w:t>
      </w:r>
    </w:p>
    <w:p>
      <w:pPr>
        <w:ind w:left="420"/>
      </w:pPr>
      <w:r>
        <w:t xml:space="preserve">1. jährlich:</w:t>
      </w:r>
    </w:p>
    <w:p>
      <w:pPr>
        <w:ind w:left="780"/>
      </w:pPr>
      <w:r>
        <w:t xml:space="preserve">a) Art, Menge, Beschaffenheit, Herkunft, Verbleib und Entsorgungsverfahren der behandelten, gelagerten oder abgelagerten sowie der durch die Behandlung entstandenen Abfälle, sekundären Rohstoffe und Produkte, Verwendungszweck des erzeugten Komposts sowie von Gärrückständen,</w:t>
      </w:r>
    </w:p>
    <w:p>
      <w:pPr>
        <w:ind w:left="780"/>
      </w:pPr>
      <w:r>
        <w:t xml:space="preserve">b) Anzahl, Art und Ort der Anlagen;</w:t>
      </w:r>
    </w:p>
    <w:p>
      <w:pPr>
        <w:ind w:left="420"/>
      </w:pPr>
      <w:r>
        <w:t xml:space="preserve">2. zweijährlich:</w:t>
      </w:r>
    </w:p>
    <w:p>
      <w:pPr>
        <w:ind w:left="780"/>
      </w:pPr>
      <w:r>
        <w:t xml:space="preserve">a) Kapazität der Anlagen, bei Deponien auch die voraussichtliche Betriebszeit nach dem Stand vom 31. Dezember des Berichtsjahres,</w:t>
      </w:r>
    </w:p>
    <w:p>
      <w:pPr>
        <w:ind w:left="780"/>
      </w:pPr>
      <w:r>
        <w:t xml:space="preserve">b) Art des Deponieabdichtungssystems, Art der Sickerwasserbehandlung, Art der Entgasung und der Abgasreinigung sowie Behandlung der Verbrennungsrückstände,</w:t>
      </w:r>
    </w:p>
    <w:p>
      <w:pPr>
        <w:ind w:left="780"/>
      </w:pPr>
      <w:r>
        <w:t xml:space="preserve">c) Aufkommen und Verbleib der im Rahmen der Abfallentsorgung gewonnenen Energieträger und, soweit sie nicht nach dem Energiestatistikgesetz erfasst werden, Erzeugung und Verbleib von Energie, jeweils nach Art und Menge.</w:t>
      </w:r>
    </w:p>
    <w:p>
      <w:r>
        <w:t xml:space="preserve">(2) Die Erhebung erfasst jährlich bei den nach dem Kreislaufwirtschaftsgesetz zuständigen Entsorgungsträgern sowie bei Dritten, soweit ihnen Verwertungs- und Beseitigungspflichten übertragen worden sind oder soweit sie mit der Erfüllung dieser Pflichten beauftragt worden sind,</w:t>
      </w:r>
    </w:p>
    <w:p>
      <w:pPr>
        <w:ind w:left="420"/>
      </w:pPr>
      <w:r>
        <w:t xml:space="preserve">1. die Erhebungsmerkmale Einsammeln und Verbleib von Abfällen nach Art, Menge und Herkunft; die Erhebungsmerkmale sind in der regionalen Gliederung nach Kreisen und kreisfreien Städten anzugeben;</w:t>
      </w:r>
    </w:p>
    <w:p>
      <w:pPr>
        <w:ind w:left="420"/>
      </w:pPr>
      <w:r>
        <w:t xml:space="preserve">2. beginnend mit dem Berichtsjahr 2020, zusätzlich die Anzahl der Anfallstellen,</w:t>
      </w:r>
    </w:p>
    <w:p>
      <w:pPr>
        <w:ind w:left="780"/>
      </w:pPr>
      <w:r>
        <w:t xml:space="preserve">a) bei denen Bioabfälle mittels Biotonne getrennt gesammelt werden,</w:t>
      </w:r>
    </w:p>
    <w:p>
      <w:pPr>
        <w:ind w:left="780"/>
      </w:pPr>
      <w:r>
        <w:t xml:space="preserve">b) bei denen Bioabfälle mittels Biotonne getrennt gesammelt und zudem Bioabfälle selbst kompostiert werden,</w:t>
      </w:r>
    </w:p>
    <w:p>
      <w:pPr>
        <w:ind w:left="780"/>
      </w:pPr>
      <w:r>
        <w:t xml:space="preserve">c) bei denen ein Anschluss- und Benutzungszwang für eine getrennte Bioabfallsammlung mittels Biotonne besteht, die aber vom Anschluss- und Benutzungszwang befreit sind, weil sie ihre Bioabfälle selbst kompostieren,</w:t>
      </w:r>
    </w:p>
    <w:p>
      <w:pPr>
        <w:ind w:left="780"/>
      </w:pPr>
      <w:r>
        <w:t xml:space="preserve">d) bei denen kein Anschluss- und Benutzungszwang für eine Biotonne besteht und keine Getrenntsammlung von Bioabfällen mittels Biotonne erfolgt.</w:t>
      </w:r>
    </w:p>
    <w:p>
      <w:r>
        <w:t xml:space="preserve">(3) Die Erhebung erfasst bei höchstens 20 000 Betrieben und sonstigen Arbeitsstätten alle vier Jahre, beginnend mit dem Berichtsjahr 2010, das Erhebungsmerkmal Erzeugung von Abfällen nach Art und Menge.</w:t>
      </w:r>
    </w:p>
    <w:p>
      <w:r>
        <w:rPr>
          <w:color w:val="555555"/>
          <w:sz w:val="17"/>
        </w:rPr>
        <w:t xml:space="preserve">Zitiervorschlag: § 3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