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UStatG 2005 — Verordnungsermächtigung</w:t>
      </w:r>
    </w:p>
    <w:p>
      <w:r>
        <w:rPr>
          <w:color w:val="555555"/>
          <w:sz w:val="18"/>
        </w:rPr>
        <w:t xml:space="preserve">Umweltstatistikgesetz</w:t>
      </w:r>
    </w:p>
    <w:p>
      <w:r>
        <w:rPr>
          <w:color w:val="555555"/>
          <w:sz w:val="18"/>
        </w:rPr>
        <w:t xml:space="preserve">Stand: 01.01.2022 (konsolidierte Textfassung, kein amtliches Inkrafttretensdatum)</w:t>
      </w:r>
    </w:p>
    <w:p>
      <w:r>
        <w:t xml:space="preserve">Die Bundesregierung wird ermächtigt, durch Rechtsverordnung mit Zustimmung des Bundesrates für nach diesem Gesetz durchzuführende Erhebungen</w:t>
      </w:r>
    </w:p>
    <w:p>
      <w:pPr>
        <w:ind w:left="420"/>
      </w:pPr>
      <w:r>
        <w:t xml:space="preserve">a) die Durchführung einer Erhebung oder die Erhebung einzelner Merkmale auszusetzen, die Periodizität zu verlängern, Erhebungszeitpunkte zu verschieben sowie den Kreis der zu Befragenden einzuschränken, wenn die Ergebnisse nicht mehr oder nicht mehr in der ursprünglich vorgesehenen Ausführlichkeit oder Häufigkeit oder zu anderen Zeitpunkten benötigt werden oder wenn tatsächliche Voraussetzungen für eine Erhebung entfallen sind oder sich wesentlich geändert haben;</w:t>
      </w:r>
    </w:p>
    <w:p>
      <w:pPr>
        <w:ind w:left="420"/>
      </w:pPr>
      <w:r>
        <w:t xml:space="preserve">b) einzelne neue Merkmale einzuführen, wenn dies zur Deckung eines geänderten Bedarfs für Zwecke der Umweltpolitik erforderlich ist und durch gleichzeitige Aussetzung anderer Merkmale eine Erweiterung des Erhebungsumfangs vermieden wird; nicht eingeführt werden können Merkmale, die die Höhe von Umsätzen, Einnahmen oder Gewinnen, Bildungs- oder Sozialdaten oder besondere Arten personenbezogener Daten nach § 3 Abs. 9 des Bundesdatenschutzgesetzes betreffen;</w:t>
      </w:r>
    </w:p>
    <w:p>
      <w:pPr>
        <w:ind w:left="420"/>
      </w:pPr>
      <w:r>
        <w:t xml:space="preserve">c) die Erhebung von Merkmalen anzuordnen, soweit dies zur Umsetzung oder Durchführung von Rechtsakten der Europäischen Union erforderlich ist.</w:t>
      </w:r>
    </w:p>
    <w:p>
      <w:r>
        <w:rPr>
          <w:color w:val="555555"/>
          <w:sz w:val="17"/>
        </w:rPr>
        <w:t xml:space="preserve">Zitiervorschlag: § 17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