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UStatG 2005 — Erhebung bestimmter klimawirksamer Stoffe</w:t>
      </w:r>
    </w:p>
    <w:p>
      <w:r>
        <w:rPr>
          <w:color w:val="555555"/>
          <w:sz w:val="18"/>
        </w:rPr>
        <w:t xml:space="preserve">Umweltstatistikgesetz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(1) Die Erhebung erfasst bei Unternehmen, die Halogenderivate der aliphatischen Kohlenwasserstoffe mit bis zu zehn Kohlenstoffatomen und die Fluorderivate der cyclischen Kohlenwasserstoffe mit bis zu zehn Kohlenstoffatomen</w:t>
      </w:r>
    </w:p>
    <w:p>
      <w:pPr>
        <w:ind w:left="420"/>
      </w:pPr>
      <w:r>
        <w:t xml:space="preserve">1. herstellen, einführen oder ausführen oder</w:t>
      </w:r>
    </w:p>
    <w:p>
      <w:pPr>
        <w:ind w:left="420"/>
      </w:pPr>
      <w:r>
        <w:t xml:space="preserve">2. in Mengen von mehr als 20 Kilogramm pro Stoff und Jahr zur Herstellung, Instandhaltung, Wartung oder Reinigung von Erzeugnissen verwenden,</w:t>
      </w:r>
    </w:p>
    <w:p>
      <w:r>
        <w:t xml:space="preserve">die Erhebungsmerkmale Art und Menge der Stoffe als solche oder in Zubereitungen.</w:t>
      </w:r>
    </w:p>
    <w:p>
      <w:r>
        <w:t xml:space="preserve">(1a) Die Erhebung nach Absatz 1 erfolgt jährlich,</w:t>
      </w:r>
    </w:p>
    <w:p>
      <w:pPr>
        <w:ind w:left="420"/>
      </w:pPr>
      <w:r>
        <w:t xml:space="preserve">1. beginnend mit dem Berichtsjahr 2006 für Fluorderivate mit bis zu sechs Kohlenstoffatomen,</w:t>
      </w:r>
    </w:p>
    <w:p>
      <w:pPr>
        <w:ind w:left="420"/>
      </w:pPr>
      <w:r>
        <w:t xml:space="preserve">2. beginnend mit dem Berichtsjahr 2015 für Fluorderivate mit bis zu zehn Kohlenstoffatomen und</w:t>
      </w:r>
    </w:p>
    <w:p>
      <w:pPr>
        <w:ind w:left="420"/>
      </w:pPr>
      <w:r>
        <w:t xml:space="preserve">3. beginnend mit dem Berichtsjahr 2022 für Halogenderivate mit bis zu zehn Kohlenstoffatomen.</w:t>
      </w:r>
    </w:p>
    <w:p>
      <w:r>
        <w:t xml:space="preserve">(2) Die Erhebung erfasst bei Unternehmen, die Schwefelhexafluorid oder Stickstofftrifluorid</w:t>
      </w:r>
    </w:p>
    <w:p>
      <w:pPr>
        <w:ind w:left="420"/>
      </w:pPr>
      <w:r>
        <w:t xml:space="preserve">1. herstellen, einführen oder ausführen oder</w:t>
      </w:r>
    </w:p>
    <w:p>
      <w:pPr>
        <w:ind w:left="420"/>
      </w:pPr>
      <w:r>
        <w:t xml:space="preserve">2. in Mengen von mehr als 200 Kilogramm pro Jahr im Inland abgeben,</w:t>
      </w:r>
    </w:p>
    <w:p>
      <w:r>
        <w:t xml:space="preserve">das Erhebungsmerkmal Menge des Stoffes und im Falle der Nummer 2 auch den vorgesehenen Verwendungszweck. Die Erhebung erstreckt sich nicht auf Unternehmen, die Produkte und Einrichtungen herstellen, die Schwefelhexafluorid oder Stickstofftrifluorid zu deren Funktionieren benötigen.</w:t>
      </w:r>
    </w:p>
    <w:p>
      <w:r>
        <w:t xml:space="preserve">(2a) Die Erhebung nach Absatz 2 erfolgt jährlich,</w:t>
      </w:r>
    </w:p>
    <w:p>
      <w:pPr>
        <w:ind w:left="420"/>
      </w:pPr>
      <w:r>
        <w:t xml:space="preserve">1. beginnend mit dem Berichtsjahr 2006 für Schwefelhexafluorid und</w:t>
      </w:r>
    </w:p>
    <w:p>
      <w:pPr>
        <w:ind w:left="420"/>
      </w:pPr>
      <w:r>
        <w:t xml:space="preserve">2. beginnend mit dem Berichtsjahr 2015 für Stickstofftrifluorid.</w:t>
      </w:r>
    </w:p>
    <w:p>
      <w:r>
        <w:t xml:space="preserve">(3) Zuständige Behörde für die Erhebung und Aufbereitung der Angaben nach Absatz 2 ist das Statistische Bundesamt.</w:t>
      </w:r>
    </w:p>
    <w:p>
      <w:r>
        <w:rPr>
          <w:color w:val="555555"/>
          <w:sz w:val="17"/>
        </w:rPr>
        <w:t xml:space="preserve">Zitiervorschlag: § 10 UStatG 2005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https://recht.nulegal.eu/gesetze/UStatG%202005/10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