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UStSchlFestV 2021 — Aufteilung der Merkmale bei Gebietsstandsänderung</w:t>
      </w:r>
    </w:p>
    <w:p>
      <w:r>
        <w:rPr>
          <w:color w:val="555555"/>
          <w:sz w:val="18"/>
        </w:rPr>
        <w:t xml:space="preserve">Umsatzsteuerschlüsselzahlenfestsetzungsverordnung</w:t>
      </w:r>
    </w:p>
    <w:p>
      <w:r>
        <w:rPr>
          <w:color w:val="555555"/>
          <w:sz w:val="18"/>
        </w:rPr>
        <w:t xml:space="preserve">Historische Fassung: Stand 01.01.2021 bis 01.01.2024. Dies ist nicht die aktuelle Fassung.</w:t>
      </w:r>
    </w:p>
    <w:p>
      <w:r>
        <w:t xml:space="preserve">Die Merkmale nach § 5a Absatz 2 Satz 2 des Gemeindefinanzreformgesetzes werden bei Gebietsstandsänderungen im Verhältnis der Einwohnerzahl auf die betroffenen Gemeinden aufgeteilt.</w:t>
      </w:r>
    </w:p>
    <w:p>
      <w:r>
        <w:rPr>
          <w:color w:val="555555"/>
          <w:sz w:val="17"/>
        </w:rPr>
        <w:t xml:space="preserve">Zitiervorschlag: § 4 UStSchlFestV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https://recht.nulegal.eu/gesetze/UStSchlFestV%202021/4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