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6b UStG 1980 — Konsignationslagerregelung</w:t>
      </w:r>
    </w:p>
    <w:p>
      <w:r>
        <w:rPr>
          <w:color w:val="555555"/>
          <w:sz w:val="18"/>
        </w:rPr>
        <w:t xml:space="preserve">Umsatzsteuergesetz</w:t>
      </w:r>
    </w:p>
    <w:p>
      <w:r>
        <w:rPr>
          <w:color w:val="555555"/>
          <w:sz w:val="18"/>
        </w:rPr>
        <w:t xml:space="preserve">Stand: 06.01.2021 (konsolidierte Textfassung, kein amtliches Inkrafttretensdatum)</w:t>
      </w:r>
    </w:p>
    <w:p>
      <w:r>
        <w:t xml:space="preserve">(1) Für die Beförderung oder Versendung eines Gegenstandes aus dem Gebiet eines Mitgliedstaates in das Gebiet eines anderen Mitgliedstaates für Zwecke einer Lieferung des Gegenstandes nach dem Ende dieser Beförderung oder Versendung an einen Erwerber gilt eine Besteuerung nach Maßgabe der nachfolgenden Vorschriften, wenn folgende Voraussetzungen erfüllt sind:</w:t>
      </w:r>
    </w:p>
    <w:p>
      <w:pPr>
        <w:ind w:left="420"/>
      </w:pPr>
      <w:r>
        <w:t xml:space="preserve">1. Der Unternehmer oder ein vom Unternehmer beauftragter Dritter befördert oder versendet einen Gegenstand des Unternehmens aus dem Gebiet eines Mitgliedstaates (Abgangsmitgliedstaat) in das Gebiet eines anderen Mitgliedstaates (Bestimmungsmitgliedstaat) zu dem Zweck, dass nach dem Ende dieser Beförderung oder Versendung die Lieferung (§ 3 Absatz 1) gemäß einer bestehenden Vereinbarung an einen Erwerber bewirkt werden soll, dessen vollständiger Name und dessen vollständige Anschrift dem Unternehmer zum Zeitpunkt des Beginns der Beförderung oder Versendung des Gegenstands bekannt ist und der Gegenstand im Bestimmungsland verbleibt.</w:t>
      </w:r>
    </w:p>
    <w:p>
      <w:pPr>
        <w:ind w:left="420"/>
      </w:pPr>
      <w:r>
        <w:t xml:space="preserve">2. Der Unternehmer hat in dem Bestimmungsmitgliedstaat weder seinen Sitz noch seine Geschäftsleitung oder eine Betriebsstätte oder in Ermangelung eines Sitzes, einer Geschäftsleitung oder einer Betriebsstätte seinen Wohnsitz oder gewöhnlichen Aufenthalt.</w:t>
      </w:r>
    </w:p>
    <w:p>
      <w:pPr>
        <w:ind w:left="420"/>
      </w:pPr>
      <w:r>
        <w:t xml:space="preserve">3. Der Erwerber im Sinne der Nummer 1, an den die Lieferung bewirkt werden soll, hat gegenüber dem Unternehmer bis zum Beginn der Beförderung oder Versendung die ihm vom Bestimmungsmitgliedstaat erteilte Umsatzsteuer-Identifikationsnummer verwendet.</w:t>
      </w:r>
    </w:p>
    <w:p>
      <w:pPr>
        <w:ind w:left="420"/>
      </w:pPr>
      <w:r>
        <w:t xml:space="preserve">4. Der Unternehmer zeichnet die Beförderung oder Versendung des Gegenstandes im Sinne der Nummer 1 nach Maßgabe des § 22 Absatz 4f gesondert auf und kommt seiner Pflicht nach § 18a Absatz 1 in Verbindung mit Absatz 6 Nummer 3 und Absatz 7 Nummer 2a rechtzeitig, richtig und vollständig nach.</w:t>
      </w:r>
    </w:p>
    <w:p>
      <w:r>
        <w:t xml:space="preserve">(2) Wenn die Voraussetzungen nach Absatz 1 erfüllt sind, gilt zum Zeitpunkt der Lieferung des Gegenstandes an den Erwerber, sofern diese Lieferung innerhalb der Frist nach Absatz 3 bewirkt wird, Folgendes:</w:t>
      </w:r>
    </w:p>
    <w:p>
      <w:pPr>
        <w:ind w:left="420"/>
      </w:pPr>
      <w:r>
        <w:t xml:space="preserve">1. Die Lieferung an den Erwerber wird einer im Abgangsmitgliedstaat steuerbaren und steuerfreien innergemeinschaftlichen Lieferung (§ 6a) gleichgestellt.</w:t>
      </w:r>
    </w:p>
    <w:p>
      <w:pPr>
        <w:ind w:left="420"/>
      </w:pPr>
      <w:r>
        <w:t xml:space="preserve">2. Die Lieferung an den Erwerber wird einem im Bestimmungsmitgliedstaat steuerbaren innergemeinschaftlichen Erwerb (§ 1a Absatz 1) gleichgestellt.</w:t>
      </w:r>
    </w:p>
    <w:p>
      <w:r>
        <w:t xml:space="preserve">(3) Wird die Lieferung an den Erwerber nicht innerhalb von zwölf Monaten nach dem Ende der Beförderung oder Versendung des Gegenstandes im Sinne des Absatzes 1 Nummer 1 bewirkt und ist keine der Voraussetzungen des Absatzes 6 erfüllt, so gilt am Tag nach Ablauf des Zeitraums von zwölf Monaten die Beförderung oder Versendung des Gegenstandes als das einer innergemeinschaftlichen Lieferung gleichgestellte Verbringen (§ 6a Absatz 2 in Verbindung mit § 3 Absatz 1a).</w:t>
      </w:r>
    </w:p>
    <w:p>
      <w:r>
        <w:t xml:space="preserve">(4) Absatz 3 ist nicht anzuwenden, wenn folgende Voraussetzungen vorliegen:</w:t>
      </w:r>
    </w:p>
    <w:p>
      <w:pPr>
        <w:ind w:left="420"/>
      </w:pPr>
      <w:r>
        <w:t xml:space="preserve">1. Die nach Absatz 1 Nummer 1 beabsichtigte Lieferung wird nicht bewirkt und der Gegenstand gelangt innerhalb von zwölf Monaten nach dem Ende der Beförderung oder Versendung aus dem Bestimmungsmitgliedstaat in den Abgangsmitgliedstaat zurück.</w:t>
      </w:r>
    </w:p>
    <w:p>
      <w:pPr>
        <w:ind w:left="420"/>
      </w:pPr>
      <w:r>
        <w:t xml:space="preserve">2. Der Unternehmer zeichnet das Zurückgelangen des Gegenstandes nach Maßgabe des § 22 Absatz 4f gesondert auf.</w:t>
      </w:r>
    </w:p>
    <w:p>
      <w:r>
        <w:t xml:space="preserve">(5) Tritt innerhalb von zwölf Monaten nach dem Ende der Beförderung oder Versendung des Gegenstandes im Sinne des Absatzes 1 Nummer 1 und vor dem Zeitpunkt der Lieferung ein anderer Unternehmer an die Stelle des Erwerbers im Sinne des Absatzes 1 Nummer 1, gilt in dem Zeitpunkt, in dem der andere Unternehmer an die Stelle des Erwerbers tritt, Absatz 4 sinngemäß, wenn folgende Voraussetzungen vorliegen:</w:t>
      </w:r>
    </w:p>
    <w:p>
      <w:pPr>
        <w:ind w:left="420"/>
      </w:pPr>
      <w:r>
        <w:t xml:space="preserve">1. Der andere Unternehmer hat gegenüber dem Unternehmer die ihm vom Bestimmungsmitgliedstaat erteilte Umsatzsteuer-Identifikationsnummer verwendet.</w:t>
      </w:r>
    </w:p>
    <w:p>
      <w:pPr>
        <w:ind w:left="420"/>
      </w:pPr>
      <w:r>
        <w:t xml:space="preserve">2. Der vollständige Name und die vollständige Anschrift des anderen Unternehmers sind dem Unternehmer bekannt.</w:t>
      </w:r>
    </w:p>
    <w:p>
      <w:pPr>
        <w:ind w:left="420"/>
      </w:pPr>
      <w:r>
        <w:t xml:space="preserve">3. Der Unternehmer zeichnet den Erwerberwechsel nach Maßgabe des § 22 Absatz 4f gesondert auf.</w:t>
      </w:r>
    </w:p>
    <w:p>
      <w:r>
        <w:t xml:space="preserve">(6) Fällt eine der Voraussetzungen nach den Absätzen 1 und 5 innerhalb von zwölf Monaten nach dem Ende der Beförderung oder Versendung des Gegenstandes im Sinne des Absatzes 1 Nummer 1 und vor dem Zeitpunkt der Lieferung weg, so gilt am Tag des Wegfalls der Voraussetzung die Beförderung oder Versendung des Gegenstandes als das einer innergemeinschaftlichen Lieferung gleichgestellte Verbringen (§ 6a Absatz 2 in Verbindung mit § 3 Absatz 1a). Wird die Lieferung an einen anderen Erwerber als einen Erwerber nach Absatz 1 Nummer 1 oder Absatz 5 bewirkt, gelten die Voraussetzungen nach den Absätzen 1 und 5 an dem Tag vor der Lieferung als nicht mehr erfüllt. Satz 2 gilt sinngemäß, wenn der Gegenstand vor der Lieferung oder bei der Lieferung in einen anderen Mitgliedstaat als den Abgangsmitgliedstaat oder in das Drittlandsgebiet befördert oder versendet wird. Im Fall der Zerstörung, des Verlustes oder des Diebstahls des Gegenstandes nach dem Ende der Beförderung oder Versendung des Gegenstandes im Sinne des Absatzes 1 Nummer 1 und vor dem Zeitpunkt der Lieferung gelten die Voraussetzungen nach den Absätzen 1 und 5 an dem Tag, an dem die Zerstörung, der Verlust oder der Diebstahl festgestellt wird, als nicht mehr erfüllt.</w:t>
      </w:r>
    </w:p>
    <w:p>
      <w:r>
        <w:rPr>
          <w:color w:val="555555"/>
          <w:sz w:val="17"/>
        </w:rPr>
        <w:t xml:space="preserve">Zitiervorschlag: § 6b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https://recht.nulegal.eu/gesetze/UStG%201980/6b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