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4b UStG 1980 — Steuerbefreiung beim innergemeinschaftlichen Erwerb von Gegenständen</w:t>
      </w:r>
    </w:p>
    <w:p>
      <w:r>
        <w:rPr>
          <w:color w:val="555555"/>
          <w:sz w:val="18"/>
        </w:rPr>
        <w:t xml:space="preserve">Umsatzsteuergesetz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Steuerfrei ist der innergemeinschaftliche Erwerb</w:t>
      </w:r>
    </w:p>
    <w:p>
      <w:pPr>
        <w:ind w:left="420"/>
      </w:pPr>
      <w:r>
        <w:t xml:space="preserve">1. der in § 4 Nr. 8 Buchstabe e und Nr. 17 Buchstabe a sowie der in § 8 Abs. 1 Nr. 1 und 2 bezeichneten Gegenstände;</w:t>
      </w:r>
    </w:p>
    <w:p>
      <w:pPr>
        <w:ind w:left="420"/>
      </w:pPr>
      <w:r>
        <w:t xml:space="preserve">2. der in § 4 Nr. 4 bis 4b und Nr. 8 Buchstabe b und i sowie der in § 8 Abs. 2 Nr. 1 und 2 bezeichneten Gegenstände unter den in diesen Vorschriften bezeichneten Voraussetzungen;</w:t>
      </w:r>
    </w:p>
    <w:p>
      <w:pPr>
        <w:ind w:left="420"/>
      </w:pPr>
      <w:r>
        <w:t xml:space="preserve">3. der Gegenstände, deren Einfuhr (§ 1 Abs. 1 Nr. 4) nach den für die Einfuhrumsatzsteuer geltenden Vorschriften steuerfrei wäre;</w:t>
      </w:r>
    </w:p>
    <w:p>
      <w:pPr>
        <w:ind w:left="420"/>
      </w:pPr>
      <w:r>
        <w:t xml:space="preserve">4. der Gegenstände, die zur Ausführung von Umsätzen verwendet werden, für die der Ausschluss vom Vorsteuerabzug nach § 15 Abs. 3 nicht eintritt.</w:t>
      </w:r>
    </w:p>
    <w:p>
      <w:r>
        <w:rPr>
          <w:color w:val="555555"/>
          <w:sz w:val="17"/>
        </w:rPr>
        <w:t xml:space="preserve">Zitiervorschlag: § 4b UStG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https://recht.nulegal.eu/gesetze/UStG%201980/4b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