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UStG 1980 — Steuervergütung für Leistungsbezüge zur Verwendung zu humanitären, karitativen oder erzieherischen Zwecken im Drittlandsgebiet</w:t>
      </w:r>
    </w:p>
    <w:p>
      <w:r>
        <w:rPr>
          <w:color w:val="555555"/>
          <w:sz w:val="18"/>
        </w:rPr>
        <w:t xml:space="preserve">Umsatzsteuergesetz</w:t>
      </w:r>
    </w:p>
    <w:p>
      <w:r>
        <w:rPr>
          <w:color w:val="555555"/>
          <w:sz w:val="18"/>
        </w:rPr>
        <w:t xml:space="preserve">Stand: 01.01.2023 (konsolidierte Textfassung, kein amtliches Inkrafttretensdatum)</w:t>
      </w:r>
    </w:p>
    <w:p>
      <w:r>
        <w:t xml:space="preserve">(1) Körperschaften, die ausschließlich und unmittelbar gemeinnützige, mildtätige oder kirchliche Zwecke verfolgen (§§ 51 bis 68 der Abgabenordnung), und juristischen Personen des öffentlichen Rechts wird auf Antrag eine Steuervergütung zum Ausgleich der Steuer gewährt, die auf der an sie bewirkten Lieferung eines Gegenstands, seiner Einfuhr oder seinem innergemeinschaftlichen Erwerb lastet, wenn die folgenden Voraussetzungen erfüllt sind:</w:t>
      </w:r>
    </w:p>
    <w:p>
      <w:pPr>
        <w:ind w:left="420"/>
      </w:pPr>
      <w:r>
        <w:t xml:space="preserve">1. Die Lieferung, die Einfuhr oder der innergemeinschaftliche Erwerb des Gegenstands muss steuerpflichtig gewesen sein.</w:t>
      </w:r>
    </w:p>
    <w:p>
      <w:pPr>
        <w:ind w:left="420"/>
      </w:pPr>
      <w:r>
        <w:t xml:space="preserve">2. Die auf die Lieferung des Gegenstands entfallende Steuer muss in einer nach § 14 ausgestellten Rechnung gesondert ausgewiesen und mit dem Kaufpreis bezahlt worden sein.</w:t>
      </w:r>
    </w:p>
    <w:p>
      <w:pPr>
        <w:ind w:left="420"/>
      </w:pPr>
      <w:r>
        <w:t xml:space="preserve">3. Die für die Einfuhr oder den innergemeinschaftlichen Erwerb des Gegenstands geschuldete Steuer muss entrichtet worden sein.</w:t>
      </w:r>
    </w:p>
    <w:p>
      <w:pPr>
        <w:ind w:left="420"/>
      </w:pPr>
      <w:r>
        <w:t xml:space="preserve">4. Der Gegenstand muss in das Drittlandsgebiet gelangt sein.</w:t>
      </w:r>
    </w:p>
    <w:p>
      <w:pPr>
        <w:ind w:left="420"/>
      </w:pPr>
      <w:r>
        <w:t xml:space="preserve">5. Der Gegenstand muss im Drittlandsgebiet zu humanitären, karitativen oder erzieherischen Zwecken verwendet werden.</w:t>
      </w:r>
    </w:p>
    <w:p>
      <w:pPr>
        <w:ind w:left="420"/>
      </w:pPr>
      <w:r>
        <w:t xml:space="preserve">6. Der Erwerb oder die Einfuhr des Gegenstands und seine Ausfuhr dürfen von einer Körperschaft, die steuerbegünstigte Zwecke verfolgt, nicht im Rahmen eines wirtschaftlichen Geschäftsbetriebs und von einer juristischen Person des öffentlichen Rechts nicht im Rahmen ihres Unternehmens vorgenommen worden sein.</w:t>
      </w:r>
    </w:p>
    <w:p>
      <w:pPr>
        <w:ind w:left="420"/>
      </w:pPr>
      <w:r>
        <w:t xml:space="preserve">7. Die vorstehenden Voraussetzungen müssen nachgewiesen sein.</w:t>
      </w:r>
    </w:p>
    <w:p>
      <w:r>
        <w:t xml:space="preserve">Der Antrag, in dem der Antragsteller die zu gewährende Vergütung selbst zu berechnen hat, ist nach amtlich vorgeschriebenem Vordruck oder amtlich vorgeschriebenem Datensatz durch Datenfernübertragung zu stellen.</w:t>
      </w:r>
    </w:p>
    <w:p>
      <w:r>
        <w:t xml:space="preserve">(2) Das Bundesministerium der Finanzen kann mit Zustimmung des Bundesrates durch Rechtsverordnung näher bestimmen,</w:t>
      </w:r>
    </w:p>
    <w:p>
      <w:pPr>
        <w:ind w:left="420"/>
      </w:pPr>
      <w:r>
        <w:t xml:space="preserve">1. wie die Voraussetzungen für den Vergütungsanspruch nach Absatz 1 Satz 1 nachzuweisen sind und</w:t>
      </w:r>
    </w:p>
    <w:p>
      <w:pPr>
        <w:ind w:left="420"/>
      </w:pPr>
      <w:r>
        <w:t xml:space="preserve">2. in welcher Frist die Vergütung zu beantragen ist.</w:t>
      </w:r>
    </w:p>
    <w:p>
      <w:r>
        <w:rPr>
          <w:color w:val="555555"/>
          <w:sz w:val="17"/>
        </w:rPr>
        <w:t xml:space="preserve">Zitiervorschlag: § 4a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