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3d UStG 1980 — Ort des innergemeinschaftlichen Erwerbs</w:t>
      </w:r>
    </w:p>
    <w:p>
      <w:r>
        <w:rPr>
          <w:color w:val="555555"/>
          <w:sz w:val="18"/>
        </w:rPr>
        <w:t xml:space="preserve">Umsatzsteuergesetz</w:t>
      </w:r>
    </w:p>
    <w:p>
      <w:r>
        <w:rPr>
          <w:color w:val="555555"/>
          <w:sz w:val="18"/>
        </w:rPr>
        <w:t xml:space="preserve">Stand: 10.06.2019 (konsolidierte Textfassung, kein amtliches Inkrafttretensdatum)</w:t>
      </w:r>
    </w:p>
    <w:p>
      <w:r>
        <w:t xml:space="preserve">Der innergemeinschaftliche Erwerb wird in dem Gebiet des Mitgliedstaates bewirkt, in dem sich der Gegenstand am Ende der Beförderung oder Versendung befindet. Verwendet der Erwerber gegenüber dem Lieferer eine ihm von einem anderen Mitgliedstaat erteilte Umsatzsteuer-Identifikationsnummer, gilt der Erwerb so lange in dem Gebiet dieses Mitgliedstaates als bewirkt, bis der Erwerber nachweist, dass der Erwerb durch den in Satz 1 bezeichneten Mitgliedstaat besteuert worden ist oder nach § 25b Abs. 3 als besteuert gilt, sofern der erste Abnehmer seiner Erklärungspflicht nach § 18a Absatz 7 Satz 1 Nummer 4 nachgekommen ist.</w:t>
      </w:r>
    </w:p>
    <w:p>
      <w:r>
        <w:rPr>
          <w:color w:val="555555"/>
          <w:sz w:val="17"/>
        </w:rPr>
        <w:t xml:space="preserve">Zitiervorschlag: § 3d UStG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https://recht.nulegal.eu/gesetze/UStG%201980/3d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