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2b UStG 1980 — Juristische Personen des öffentlichen Rechts</w:t>
      </w:r>
    </w:p>
    <w:p>
      <w:r>
        <w:rPr>
          <w:color w:val="555555"/>
          <w:sz w:val="18"/>
        </w:rPr>
        <w:t xml:space="preserve">Umsatzsteuergesetz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Vorbehaltlich des Absatzes 4 gelten juristische Personen des öffentlichen Rechts nicht als Unternehmer im Sinne des § 2, soweit sie Tätigkeiten ausüben, die ihnen im Rahmen der öffentlichen Gewalt obliegen, auch wenn sie im Zusammenhang mit diesen Tätigkeiten Zölle, Gebühren, Beiträge oder sonstige Abgaben erheben. Satz 1 gilt nicht, sofern eine Behandlung als Nichtunternehmer zu größeren Wettbewerbsverzerrungen führen würde.</w:t>
      </w:r>
    </w:p>
    <w:p>
      <w:r>
        <w:t xml:space="preserve">(2) Größere Wettbewerbsverzerrungen liegen insbesondere nicht vor, wenn</w:t>
      </w:r>
    </w:p>
    <w:p>
      <w:pPr>
        <w:ind w:left="420"/>
      </w:pPr>
      <w:r>
        <w:t xml:space="preserve">1. der von einer juristischen Person des öffentlichen Rechts im Kalenderjahr aus gleichartigen Tätigkeiten erzielte Umsatz voraussichtlich 17 500 Euro jeweils nicht übersteigen wird oder</w:t>
      </w:r>
    </w:p>
    <w:p>
      <w:pPr>
        <w:ind w:left="420"/>
      </w:pPr>
      <w:r>
        <w:t xml:space="preserve">2. vergleichbare, auf privatrechtlicher Grundlage erbrachte Leistungen ohne Recht auf Verzicht (§ 9) einer Steuerbefreiung unterliegen.</w:t>
      </w:r>
    </w:p>
    <w:p>
      <w:r>
        <w:t xml:space="preserve">(3) Sofern eine Leistung an eine andere juristische Person des öffentlichen Rechts ausgeführt wird, liegen größere Wettbewerbsverzerrungen insbesondere nicht vor, wenn</w:t>
      </w:r>
    </w:p>
    <w:p>
      <w:pPr>
        <w:ind w:left="420"/>
      </w:pPr>
      <w:r>
        <w:t xml:space="preserve">1. die Leistungen aufgrund gesetzlicher Bestimmungen nur von juristischen Personen des öffentlichen Rechts erbracht werden dürfen oder</w:t>
      </w:r>
    </w:p>
    <w:p>
      <w:pPr>
        <w:ind w:left="420"/>
      </w:pPr>
      <w:r>
        <w:t xml:space="preserve">2. die Zusammenarbeit durch gemeinsame spezifische öffentliche Interessen bestimmt wird. Dies ist regelmäßig der Fall, wenn</w:t>
      </w:r>
    </w:p>
    <w:p>
      <w:pPr>
        <w:ind w:left="780"/>
      </w:pPr>
      <w:r>
        <w:t xml:space="preserve">a) die Leistungen auf langfristigen öffentlich-rechtlichen Vereinbarungen beruhen,</w:t>
      </w:r>
    </w:p>
    <w:p>
      <w:pPr>
        <w:ind w:left="780"/>
      </w:pPr>
      <w:r>
        <w:t xml:space="preserve">b) die Leistungen dem Erhalt der öffentlichen Infrastruktur und der Wahrnehmung einer allen Beteiligten obliegenden öffentlichen Aufgabe dienen,</w:t>
      </w:r>
    </w:p>
    <w:p>
      <w:pPr>
        <w:ind w:left="780"/>
      </w:pPr>
      <w:r>
        <w:t xml:space="preserve">c) die Leistungen ausschließlich gegen Kostenerstattung erbracht werden und</w:t>
      </w:r>
    </w:p>
    <w:p>
      <w:pPr>
        <w:ind w:left="780"/>
      </w:pPr>
      <w:r>
        <w:t xml:space="preserve">d) der Leistende gleichartige Leistungen im Wesentlichen an andere juristische Personen des öffentlichen Rechts erbringt.</w:t>
      </w:r>
    </w:p>
    <w:p>
      <w:r>
        <w:t xml:space="preserve">(4) Auch wenn die Voraussetzungen des Absatzes 1 Satz 1 gegeben sind, gelten juristische Personen des öffentlichen Rechts bei Vorliegen der übrigen Voraussetzungen des § 2 Absatz 1 mit der Ausübung folgender Tätigkeiten stets als Unternehmer: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die Leistungen der Vermessungs- und Katasterbehörden bei der Wahrnehmung von Aufgaben der Landesvermessung und des Liegenschaftskatasters mit Ausnahme der Amtshilfe;</w:t>
      </w:r>
    </w:p>
    <w:p>
      <w:pPr>
        <w:ind w:left="420"/>
      </w:pPr>
      <w:r>
        <w:t xml:space="preserve">4. die Tätigkeit der Bundesanstalt für Landwirtschaft und Ernährung, soweit Aufgaben der Marktordnung, der Vorratshaltung und der Nahrungsmittelhilfe wahrgenommen werden;</w:t>
      </w:r>
    </w:p>
    <w:p>
      <w:pPr>
        <w:ind w:left="420"/>
      </w:pPr>
      <w:r>
        <w:t xml:space="preserve">5. Tätigkeiten, die in Anhang I der Richtlinie 2006/112/EG des Rates vom 28. November 2006 über das gemeinsame Mehrwertsteuersystem (ABl. L 347 vom 11.12.2006, S. 1) in der jeweils gültigen Fassung genannt sind, sofern der Umfang dieser Tätigkeiten nicht unbedeutend ist.</w:t>
      </w:r>
    </w:p>
    <w:p>
      <w:r>
        <w:rPr>
          <w:color w:val="555555"/>
          <w:sz w:val="17"/>
        </w:rPr>
        <w:t xml:space="preserve">Zitiervorschlag: § 2b UStG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https://recht.nulegal.eu/gesetze/UStG%201980/2b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