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UStG 1980 — Fahrzeuglieferer</w:t>
      </w:r>
    </w:p>
    <w:p>
      <w:r>
        <w:rPr>
          <w:color w:val="555555"/>
          <w:sz w:val="18"/>
        </w:rPr>
        <w:t xml:space="preserve">Umsatzsteuergesetz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im Inland ein neues Fahrzeug liefert, das bei der Lieferung in das übrige Gemeinschaftsgebiet gelangt, wird, wenn er nicht Unternehmer im Sinne des § 2 ist, für diese Lieferung wie ein Unternehmer behandelt. Dasselbe gilt, wenn der Lieferer eines neuen Fahrzeugs Unternehmer im Sinne des § 2 ist und die Lieferung nicht im Rahmen des Unternehmens ausführt.</w:t>
      </w:r>
    </w:p>
    <w:p>
      <w:r>
        <w:rPr>
          <w:color w:val="555555"/>
          <w:sz w:val="17"/>
        </w:rPr>
        <w:t xml:space="preserve">Zitiervorschlag: § 2a UStG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https://recht.nulegal.eu/gesetze/UStG%201980/2a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