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UStG 1980 — Umstellung langfristiger Verträge</w:t>
      </w:r>
    </w:p>
    <w:p>
      <w:r>
        <w:rPr>
          <w:color w:val="555555"/>
          <w:sz w:val="18"/>
        </w:rPr>
        <w:t xml:space="preserve">Umsatzsteuergesetz</w:t>
      </w:r>
    </w:p>
    <w:p>
      <w:r>
        <w:rPr>
          <w:color w:val="555555"/>
          <w:sz w:val="18"/>
        </w:rPr>
        <w:t xml:space="preserve">Stand: 10.06.2019 (konsolidierte Textfassung, kein amtliches Inkrafttretensdatum)</w:t>
      </w:r>
    </w:p>
    <w:p>
      <w:r>
        <w:t xml:space="preserve">(1) Beruht die Leistung auf einem Vertrag, der nicht später als vier Kalendermonate vor dem Inkrafttreten dieses Gesetzes abgeschlossen worden ist, so kann, falls nach diesem Gesetz ein anderer Steuersatz anzuwenden ist, der Umsatz steuerpflichtig, steuerfrei oder nicht steuerbar wird, der eine Vertragsteil von dem anderen einen angemessenen Ausgleich der umsatzsteuerlichen Mehr- oder Minderbelastung verlangen. Satz 1 gilt nicht, soweit die Parteien etwas anderes vereinbart haben. Ist die Höhe der Mehr- oder Minderbelastung streitig, so ist § 287 Abs. 1 der Zivilprozessordnung entsprechend anzuwenden.</w:t>
      </w:r>
    </w:p>
    <w:p>
      <w:r>
        <w:t xml:space="preserve">(2) Absatz 1 gilt sinngemäß bei einer Änderung dieses Gesetzes.</w:t>
      </w:r>
    </w:p>
    <w:p>
      <w:r>
        <w:rPr>
          <w:color w:val="555555"/>
          <w:sz w:val="17"/>
        </w:rPr>
        <w:t xml:space="preserve">Zitiervorschlag: § 29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