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UStG 1980 — Zeitlich begrenzte Fassungen einzelner Gesetzesvorschriften</w:t>
      </w:r>
    </w:p>
    <w:p>
      <w:r>
        <w:rPr>
          <w:color w:val="555555"/>
          <w:sz w:val="18"/>
        </w:rPr>
        <w:t xml:space="preserve">Umsatzsteuergesetz</w:t>
      </w:r>
    </w:p>
    <w:p>
      <w:r>
        <w:rPr>
          <w:color w:val="555555"/>
          <w:sz w:val="18"/>
        </w:rPr>
        <w:t xml:space="preserve">Stand: 26.10.2022 (konsolidierte Textfassung, kein amtliches Inkrafttretensdatum)</w:t>
      </w:r>
    </w:p>
    <w:p>
      <w:r>
        <w:t xml:space="preserve">(1) § 12 Absatz 1 ist vom 1. Juli 2020 bis 31. Dezember 2020 mit der Maßgabe anzuwenden, dass die Steuer für jeden steuerpflichtigen Umsatz 16 Prozent der Bemessungsgrundlage (§§ 10, 11, 25 Absatz 3 und § 25a Absatz 3 und 4) beträgt.</w:t>
      </w:r>
    </w:p>
    <w:p>
      <w:r>
        <w:t xml:space="preserve">(2) § 12 Absatz 2 ist vom 1. Juli 2020 bis 31. Dezember 2020 mit der Maßgabe anzuwenden, dass sich die Steuer für die in den Nummern 1 bis 15 genannten Umsätze auf 5 Prozent ermäßigt.</w:t>
      </w:r>
    </w:p>
    <w:p>
      <w:r>
        <w:t xml:space="preserve">(3) § 24 Absatz 1 Satz 1 Nummer 2 ist vom 1. Juli 2020 bis 31. Dezember 2020 mit der Maßgabe anzuwenden, dass die Steuer für die Lieferungen der in der Anlage 2 nicht aufgeführten Sägewerkserzeugnisse und Getränke sowie von alkoholischen Flüssigkeiten, ausgenommen die Lieferungen in das Ausland und die im Ausland bewirkten Umsätze, und für sonstige Leistungen, soweit in der Anlage 2 nicht aufgeführte Getränke abgegeben werden, 16 Prozent beträgt.</w:t>
      </w:r>
    </w:p>
    <w:p>
      <w:r>
        <w:t xml:space="preserve">(4) § 12 Abs. 2 Nr. 10 gilt bis zum 31. Dezember 2011 in folgender Fassung:</w:t>
      </w:r>
    </w:p>
    <w:p>
      <w:pPr>
        <w:ind w:left="780"/>
      </w:pPr>
      <w:r>
        <w:t xml:space="preserve">a) die Beförderungen von Personen mit Schiffen,</w:t>
      </w:r>
    </w:p>
    <w:p>
      <w:pPr>
        <w:ind w:left="780"/>
      </w:pPr>
      <w:r>
        <w:t xml:space="preserve">b) die Beförderungen von Personen im Schienenbahnverkehr, im Verkehr mit Oberleitungsomnibussen, im genehmigten Linienverkehr mit Kraftfahrzeugen, im Verkehr mit Taxen, mit Drahtseilbahnen und sonstigen mechanischen Aufstiegshilfen aller Art und die Beförderungen im Fährverkehr</w:t>
      </w:r>
    </w:p>
    <w:p>
      <w:pPr>
        <w:ind w:left="1140"/>
      </w:pPr>
      <w:r>
        <w:t xml:space="preserve">aa) innerhalb einer Gemeinde oder</w:t>
      </w:r>
    </w:p>
    <w:p>
      <w:pPr>
        <w:ind w:left="1140"/>
      </w:pPr>
      <w:r>
        <w:t xml:space="preserve">bb) wenn die Beförderungsstrecke nicht mehr als 50 Kilometer beträgt;</w:t>
      </w:r>
    </w:p>
    <w:p>
      <w:r>
        <w:t xml:space="preserve">(5) § 12 Absatz 2 ist vom 1. Oktober 2022 bis 31. März 2024 mit der Maßgabe anzuwenden, dass der dort genannte Steuersatz auch für die Lieferung von Gas über das Erdgasnetz gilt.</w:t>
      </w:r>
    </w:p>
    <w:p>
      <w:r>
        <w:t xml:space="preserve">(6) § 12 Absatz 2 ist vom 1. Oktober 2022 bis 31. März 2024 mit der Maßgabe anzuwenden, dass der dort genannte Steuersatz auch für die Lieferung von Wärme über ein Wärmenetz gilt.</w:t>
      </w:r>
    </w:p>
    <w:p>
      <w:r>
        <w:rPr>
          <w:color w:val="555555"/>
          <w:sz w:val="17"/>
        </w:rPr>
        <w:t xml:space="preserve">Zitiervorschlag: § 28 UStG 1980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https://recht.nulegal.eu/gesetze/UStG%201980/28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