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26a UStG 1980 — Bußgeldvorschriften</w:t>
      </w:r>
    </w:p>
    <w:p>
      <w:r>
        <w:rPr>
          <w:color w:val="555555"/>
          <w:sz w:val="18"/>
        </w:rPr>
        <w:t xml:space="preserve">Umsatzsteuergesetz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(1) Ordnungswidrig handelt, wer entgegen § 18 Absatz 1 Satz 4, Absatz 4 Satz 1 oder 2, Absatz 4c Satz 2, Absatz 4e Satz 4 oder Absatz 5a Satz 4, § 18i Absatz 3 Satz 3, § 18j Absatz 4 Satz 3 oder § 18k Absatz 4 Satz 3 eine Vorauszahlung, einen Unterschiedsbetrag oder eine festgesetzte Steuer nicht, nicht vollständig oder nicht rechtzeitig entrichtet.</w:t>
      </w:r>
    </w:p>
    <w:p>
      <w:r>
        <w:t xml:space="preserve">(2) Ordnungswidrig handelt, wer vorsätzlich oder leichtfertig</w:t>
      </w:r>
    </w:p>
    <w:p>
      <w:pPr>
        <w:ind w:left="420"/>
      </w:pPr>
      <w:r>
        <w:t xml:space="preserve">1. entgegen § 14 Absatz 2 Satz 2 eine Rechnung nicht oder nicht rechtzeitig ausstellt,</w:t>
      </w:r>
    </w:p>
    <w:p>
      <w:pPr>
        <w:ind w:left="420"/>
      </w:pPr>
      <w:r>
        <w:t xml:space="preserve">2. entgegen § 14b Abs. 1 Satz 1, auch in Verbindung mit Satz 4, ein dort bezeichnetes Doppel oder eine dort bezeichnete Rechnung nicht oder nicht mindestens acht Jahre aufbewahrt,</w:t>
      </w:r>
    </w:p>
    <w:p>
      <w:pPr>
        <w:ind w:left="420"/>
      </w:pPr>
      <w:r>
        <w:t xml:space="preserve">3. entgegen § 14b Abs. 1 Satz 5 eine dort bezeichnete Rechnung, einen Zahlungsbeleg oder eine andere beweiskräftige Unterlage nicht oder nicht mindestens zwei Jahre aufbewahrt,</w:t>
      </w:r>
    </w:p>
    <w:p>
      <w:pPr>
        <w:ind w:left="420"/>
      </w:pPr>
      <w:r>
        <w:t xml:space="preserve">4. entgegen § 18 Abs. 12 Satz 3 die dort bezeichnete Bescheinigung nicht oder nicht rechtzeitig vorlegt,</w:t>
      </w:r>
    </w:p>
    <w:p>
      <w:pPr>
        <w:ind w:left="420"/>
      </w:pPr>
      <w:r>
        <w:t xml:space="preserve">5. entgegen § 18a Absatz 1 bis 3 in Verbindung mit Absatz 7 Satz 1, Absatz 8 oder Absatz 9 eine Zusammenfassende Meldung nicht, nicht richtig, nicht vollständig oder nicht rechtzeitig abgibt oder entgegen § 18a Absatz 10 eine Zusammenfassende Meldung nicht oder nicht rechtzeitig berichtigt,</w:t>
      </w:r>
    </w:p>
    <w:p>
      <w:pPr>
        <w:ind w:left="420"/>
      </w:pPr>
      <w:r>
        <w:t xml:space="preserve">6. einer Rechtsverordnung nach § 18c zuwiderhandelt, soweit sie für einen bestimmten Tatbestand auf die Bußgeldvorschrift verweist,</w:t>
      </w:r>
    </w:p>
    <w:p>
      <w:pPr>
        <w:ind w:left="420"/>
      </w:pPr>
      <w:r>
        <w:t xml:space="preserve">7. entgegen § 18d Satz 3 die dort bezeichneten Unterlagen nicht, nicht vollständig oder nicht rechtzeitig vorlegt,</w:t>
      </w:r>
    </w:p>
    <w:p>
      <w:pPr>
        <w:ind w:left="420"/>
      </w:pPr>
      <w:r>
        <w:t xml:space="preserve">8. entgegen § 22g Absatz 4 Satz 1 eine Information nicht, nicht richtig, nicht vollständig oder nicht rechtzeitig übermittelt,</w:t>
      </w:r>
    </w:p>
    <w:p>
      <w:pPr>
        <w:ind w:left="420"/>
      </w:pPr>
      <w:r>
        <w:t xml:space="preserve">9. entgegen § 22g Absatz 5 eine Angabe nicht oder nicht rechtzeitig berichtigt und nicht oder nicht rechtzeitig vervollständigt oder</w:t>
      </w:r>
    </w:p>
    <w:p>
      <w:pPr>
        <w:ind w:left="420"/>
      </w:pPr>
      <w:r>
        <w:t xml:space="preserve">10. entgegen § 22g Absatz 6 eine Aufzeichnung nicht oder nicht mindestens drei Kalenderjahre aufbewahrt.</w:t>
      </w:r>
    </w:p>
    <w:p>
      <w:r>
        <w:t xml:space="preserve">(3) Die Ordnungswidrigkeit kann in den Fällen des Absatzes 1 mit einer Geldbuße bis zu dreißigtausend Euro, in den Fällen des Absatzes 2 Nummer 3 mit einer Geldbuße bis zu tausend Euro, in den übrigen Fällen des Absatzes 2 mit einer Geldbuße bis zu fünftausend Euro geahndet werden.</w:t>
      </w:r>
    </w:p>
    <w:p>
      <w:r>
        <w:t xml:space="preserve">(4) Verwaltungsbehörde im Sinne des § 36 Absatz 1 Nummer 1 des Gesetzes über Ordnungswidrigkeiten ist in den Fällen des Absatzes 2 Nummer 5, 6 und 8 bis 10 das Bundeszentralamt für Steuern.</w:t>
      </w:r>
    </w:p>
    <w:p>
      <w:r>
        <w:rPr>
          <w:color w:val="555555"/>
          <w:sz w:val="17"/>
        </w:rPr>
        <w:t xml:space="preserve">Zitiervorschlag: § 26a UStG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https://recht.nulegal.eu/gesetze/UStG%201980/26a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