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25a UStG 1980 — Differenzbesteuerung</w:t>
      </w:r>
    </w:p>
    <w:p>
      <w:r>
        <w:rPr>
          <w:color w:val="555555"/>
          <w:sz w:val="18"/>
        </w:rPr>
        <w:t xml:space="preserve">Umsatzsteuergesetz</w:t>
      </w:r>
    </w:p>
    <w:p>
      <w:r>
        <w:rPr>
          <w:color w:val="555555"/>
          <w:sz w:val="18"/>
        </w:rPr>
        <w:t xml:space="preserve">Stand: 01.01.2025 (konsolidierte Textfassung, kein amtliches Inkrafttretensdatum)</w:t>
      </w:r>
    </w:p>
    <w:p>
      <w:r>
        <w:t xml:space="preserve">(1) Für die Lieferungen im Sinne des § 1 Abs. 1 Nr. 1 von beweglichen körperlichen Gegenständen gilt eine Besteuerung nach Maßgabe der nachfolgenden Vorschriften (Differenzbesteuerung), wenn folgende Voraussetzungen erfüllt sind:</w:t>
      </w:r>
    </w:p>
    <w:p>
      <w:pPr>
        <w:ind w:left="420"/>
      </w:pPr>
      <w:r>
        <w:t xml:space="preserve">1. Der Unternehmer ist ein Wiederverkäufer. Als Wiederverkäufer gilt, wer gewerbsmäßig mit beweglichen körperlichen Gegenständen handelt oder solche Gegenstände im eigenen Namen öffentlich versteigert.</w:t>
      </w:r>
    </w:p>
    <w:p>
      <w:pPr>
        <w:ind w:left="420"/>
      </w:pPr>
      <w:r>
        <w:t xml:space="preserve">2. Die Gegenstände wurden an den Wiederverkäufer im Gemeinschaftsgebiet geliefert. Für diese Lieferung wurde</w:t>
      </w:r>
    </w:p>
    <w:p>
      <w:pPr>
        <w:ind w:left="780"/>
      </w:pPr>
      <w:r>
        <w:t xml:space="preserve">a) Umsatzsteuer nicht geschuldet oder</w:t>
      </w:r>
    </w:p>
    <w:p>
      <w:pPr>
        <w:ind w:left="780"/>
      </w:pPr>
      <w:r>
        <w:t xml:space="preserve">b) die Differenzbesteuerung vorgenommen.</w:t>
      </w:r>
    </w:p>
    <w:p>
      <w:pPr>
        <w:ind w:left="420"/>
      </w:pPr>
      <w:r>
        <w:t xml:space="preserve">3. Die Gegenstände sind keine Edelsteine (aus Positionen 71 02 und 71 03 des Zolltarifs) oder Edelmetalle (aus Positionen 71 06, 71 08, 71 10 und 71 12 des Zolltarifs).</w:t>
      </w:r>
    </w:p>
    <w:p>
      <w:r>
        <w:t xml:space="preserve">(2) Der Wiederverkäufer kann spätestens bei Abgabe der ersten Voranmeldung eines Kalenderjahres gegenüber dem Finanzamt erklären, dass er die Differenzbesteuerung von Beginn dieses Kalenderjahres an auch auf folgende Gegenstände anwendet:</w:t>
      </w:r>
    </w:p>
    <w:p>
      <w:pPr>
        <w:ind w:left="420"/>
      </w:pPr>
      <w:r>
        <w:t xml:space="preserve">1. Kunstgegenstände (Nummer 53 der Anlage 2), Sammlungsstücke (Nummer 49 Buchstabe f und Nummer 54 der Anlage 2) oder Antiquitäten (Position 9706 des Zolltarifs), die er selbst eingeführt hat, oder</w:t>
      </w:r>
    </w:p>
    <w:p>
      <w:pPr>
        <w:ind w:left="420"/>
      </w:pPr>
      <w:r>
        <w:t xml:space="preserve">2. Kunstgegenstände, wenn die Lieferung an ihn steuerpflichtig war und nicht von einem Wiederverkäufer ausgeführt wurde.</w:t>
      </w:r>
    </w:p>
    <w:p>
      <w:r>
        <w:t xml:space="preserve">Die Erklärung bindet den Wiederverkäufer für mindestens zwei Kalenderjahre.</w:t>
      </w:r>
    </w:p>
    <w:p>
      <w:r>
        <w:t xml:space="preserve">(3) Der Umsatz wird nach dem Betrag bemessen, um den der Verkaufspreis den Einkaufspreis für den Gegenstand übersteigt; bei Lieferungen im Sinne des § 3 Abs. 1b und in den Fällen des § 10 Abs. 5 tritt an die Stelle des Verkaufspreises der Wert nach § 10 Abs. 4 Nr. 1. Lässt sich der Einkaufspreis eines Kunstgegenstandes (Nummer 53 der Anlage 2) nicht ermitteln oder ist der Einkaufspreis unbedeutend, wird der Betrag, nach dem sich der Umsatz bemisst, mit 30 Prozent des Verkaufspreises angesetzt. Die Umsatzsteuer gehört nicht zur Bemessungsgrundlage. Im Fall des Absatzes 2 Satz 1 Nr. 1 gilt als Einkaufspreis der Wert im Sinne des § 11 Abs. 1 zuzüglich der Einfuhrumsatzsteuer. Im Fall des Absatzes 2 Satz 1 Nr. 2 schließt der Einkaufspreis die Umsatzsteuer des Lieferers ein.</w:t>
      </w:r>
    </w:p>
    <w:p>
      <w:r>
        <w:t xml:space="preserve">(4) Der Wiederverkäufer kann die gesamten innerhalb eines Besteuerungszeitraums ausgeführten Umsätze nach dem Gesamtbetrag bemessen, um den die Summe der Verkaufspreise und der Werte nach § 10 Abs. 4 Nr. 1 die Summe der Einkaufspreise dieses Zeitraums übersteigt (Gesamtdifferenz). Die Besteuerung nach der Gesamtdifferenz ist nur bei solchen Gegenständen zulässig, deren Einkaufspreis 750 Euro nicht übersteigt. Im Übrigen gilt Absatz 3 entsprechend.</w:t>
      </w:r>
    </w:p>
    <w:p>
      <w:r>
        <w:t xml:space="preserve">(5) Die Steuer ist mit dem allgemeinen Steuersatz nach § 12 Abs. 1 zu berechnen. Die Steuerbefreiungen, ausgenommen die Steuerbefreiung für innergemeinschaftliche Lieferungen (§ 4 Nr. 1 Buchstabe b, § 6a), bleiben unberührt. Abweichend von § 15 Abs. 1 ist der Wiederverkäufer in den Fällen des Absatzes 2 nicht berechtigt, die entstandene Einfuhrumsatzsteuer, die gesondert ausgewiesene Steuer oder die nach § 13b Absatz 5 geschuldete Steuer für die an ihn ausgeführte Lieferung als Vorsteuer abzuziehen.</w:t>
      </w:r>
    </w:p>
    <w:p>
      <w:r>
        <w:t xml:space="preserve">(6) § 22 gilt mit der Maßgabe, dass aus den Aufzeichnungen des Wiederverkäufers zu ersehen sein müssen</w:t>
      </w:r>
    </w:p>
    <w:p>
      <w:pPr>
        <w:ind w:left="420"/>
      </w:pPr>
      <w:r>
        <w:t xml:space="preserve">1. die Verkaufspreise oder die Werte nach § 10 Abs. 4 Satz 1 Nr. 1,</w:t>
      </w:r>
    </w:p>
    <w:p>
      <w:pPr>
        <w:ind w:left="420"/>
      </w:pPr>
      <w:r>
        <w:t xml:space="preserve">2. die Einkaufspreise und</w:t>
      </w:r>
    </w:p>
    <w:p>
      <w:pPr>
        <w:ind w:left="420"/>
      </w:pPr>
      <w:r>
        <w:t xml:space="preserve">3. die Bemessungsgrundlagen nach den Absätzen 3 und 4.</w:t>
      </w:r>
    </w:p>
    <w:p>
      <w:r>
        <w:t xml:space="preserve">Wendet der Wiederverkäufer neben der Differenzbesteuerung die Besteuerung nach den allgemeinen Vorschriften an, hat er getrennte Aufzeichnungen zu führen.</w:t>
      </w:r>
    </w:p>
    <w:p>
      <w:r>
        <w:t xml:space="preserve">(7) Es gelten folgende Besonderheiten:</w:t>
      </w:r>
    </w:p>
    <w:p>
      <w:pPr>
        <w:ind w:left="420"/>
      </w:pPr>
      <w:r>
        <w:t xml:space="preserve">1. Die Differenzbesteuerung findet keine Anwendung</w:t>
      </w:r>
    </w:p>
    <w:p>
      <w:pPr>
        <w:ind w:left="780"/>
      </w:pPr>
      <w:r>
        <w:t xml:space="preserve">a) auf die Lieferungen eines Gegenstands, den der Wiederverkäufer innergemeinschaftlich erworben hat, wenn auf die Lieferung des Gegenstands an den Wiederverkäufer die Steuerbefreiung für innergemeinschaftliche Lieferungen im übrigen Gemeinschaftsgebiet angewendet worden ist,</w:t>
      </w:r>
    </w:p>
    <w:p>
      <w:pPr>
        <w:ind w:left="780"/>
      </w:pPr>
      <w:r>
        <w:t xml:space="preserve">b) auf die innergemeinschaftliche Lieferung eines neuen Fahrzeugs im Sinne des § 1b Abs. 2 und 3,</w:t>
      </w:r>
    </w:p>
    <w:p>
      <w:pPr>
        <w:ind w:left="780"/>
      </w:pPr>
      <w:r>
        <w:t xml:space="preserve">c) in den Fällen des Absatzes 2, wenn auf den der Lieferung des Wiederverkäufers vorangegangenen Umsatz ein ermäßigter Steuersatz angewandt worden ist.</w:t>
      </w:r>
    </w:p>
    <w:p>
      <w:pPr>
        <w:ind w:left="420"/>
      </w:pPr>
      <w:r>
        <w:t xml:space="preserve">2. Der innergemeinschaftliche Erwerb unterliegt nicht der Umsatzsteuer, wenn auf die Lieferung der Gegenstände an den Erwerber im Sinne des § 1a Abs. 1 die Differenzbesteuerung im übrigen Gemeinschaftsgebiet angewendet worden ist.</w:t>
      </w:r>
    </w:p>
    <w:p>
      <w:pPr>
        <w:ind w:left="420"/>
      </w:pPr>
      <w:r>
        <w:t xml:space="preserve">3. Die Anwendung des § 3c und die Steuerbefreiung für innergemeinschaftliche Lieferungen (§ 4 Nr. 1 Buchstabe b, § 6a) sind bei der Differenzbesteuerung ausgeschlossen.</w:t>
      </w:r>
    </w:p>
    <w:p>
      <w:r>
        <w:t xml:space="preserve">(8) Der Wiederverkäufer kann bei jeder Lieferung auf die Differenzbesteuerung verzichten, soweit er Absatz 4 nicht anwendet. Bezieht sich der Verzicht auf die in Absatz 2 bezeichneten Gegenstände, ist der Vorsteuerabzug frühestens in dem Voranmeldungszeitraum möglich, in dem die Steuer für die Lieferung entsteht.</w:t>
      </w:r>
    </w:p>
    <w:p>
      <w:r>
        <w:rPr>
          <w:color w:val="555555"/>
          <w:sz w:val="17"/>
        </w:rPr>
        <w:t xml:space="preserve">Zitiervorschlag: § 25a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