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UStG 1980 — Besteuerung von Reiseleistungen</w:t>
      </w:r>
    </w:p>
    <w:p>
      <w:r>
        <w:rPr>
          <w:color w:val="555555"/>
          <w:sz w:val="18"/>
        </w:rPr>
        <w:t xml:space="preserve">Umsatzsteuergesetz</w:t>
      </w:r>
    </w:p>
    <w:p>
      <w:r>
        <w:rPr>
          <w:color w:val="555555"/>
          <w:sz w:val="18"/>
        </w:rPr>
        <w:t xml:space="preserve">Stand: 10.01.2020 (konsolidierte Textfassung, kein amtliches Inkrafttretensdatum)</w:t>
      </w:r>
    </w:p>
    <w:p>
      <w:r>
        <w:t xml:space="preserve">(1) Die nachfolgenden Vorschriften gelten für Reiseleistungen eines Unternehmers, soweit der Unternehmer dabei gegenüber dem Leistungsempfänger im eigenen Namen auftritt und Reisevorleistungen in Anspruch nimmt. Die Leistung des Unternehmers ist als sonstige Leistung anzusehen. Erbringt der Unternehmer an einen Leistungsempfänger im Rahmen einer Reise mehrere Leistungen dieser Art, so gelten sie als eine einheitliche sonstige Leistung. Der Ort der sonstigen Leistung bestimmt sich nach § 3a Abs. 1. Reisevorleistungen sind Lieferungen und sonstige Leistungen Dritter, die den Reisenden unmittelbar zugute kommen.</w:t>
      </w:r>
    </w:p>
    <w:p>
      <w:r>
        <w:t xml:space="preserve">(2) Die sonstige Leistung ist steuerfrei, soweit die ihr zuzurechnenden Reisevorleistungen im Drittlandsgebiet bewirkt werden. Die Voraussetzung der Steuerbefreiung muss vom Unternehmer nachgewiesen sein. Das Bundesministerium der Finanzen kann mit Zustimmung des Bundesrates durch Rechtsverordnung bestimmen, wie der Unternehmer den Nachweis zu führen hat.</w:t>
      </w:r>
    </w:p>
    <w:p>
      <w:r>
        <w:t xml:space="preserve">(3) Die sonstige Leistung bemisst sich nach dem Unterschied zwischen dem Betrag, den der Leistungsempfänger aufwendet, um die Leistung zu erhalten, und dem Betrag, den der Unternehmer für die Reisevorleistungen aufwendet. Die Umsatzsteuer gehört nicht zur Bemessungsgrundlage.</w:t>
      </w:r>
    </w:p>
    <w:p>
      <w:r>
        <w:t xml:space="preserve">(4) Abweichend von § 15 Abs. 1 ist der Unternehmer nicht berechtigt, die ihm für die Reisevorleistungen gesondert in Rechnung gestellten sowie die nach § 13b geschuldeten Steuerbeträge als Vorsteuer abzuziehen. Im Übrigen bleibt § 15 unberührt.</w:t>
      </w:r>
    </w:p>
    <w:p>
      <w:r>
        <w:t xml:space="preserve">(5) Für die sonstigen Leistungen gilt § 22 mit der Maßgabe, dass aus den Aufzeichnungen des Unternehmers zu ersehen sein müssen:</w:t>
      </w:r>
    </w:p>
    <w:p>
      <w:pPr>
        <w:ind w:left="420"/>
      </w:pPr>
      <w:r>
        <w:t xml:space="preserve">1. der Betrag, den der Leistungsempfänger für die Leistung aufwendet,</w:t>
      </w:r>
    </w:p>
    <w:p>
      <w:pPr>
        <w:ind w:left="420"/>
      </w:pPr>
      <w:r>
        <w:t xml:space="preserve">2. die Beträge, die der Unternehmer für die Reisevorleistungen aufwendet,</w:t>
      </w:r>
    </w:p>
    <w:p>
      <w:pPr>
        <w:ind w:left="420"/>
      </w:pPr>
      <w:r>
        <w:t xml:space="preserve">3. die Bemessungsgrundlage nach Absatz 3 und</w:t>
      </w:r>
    </w:p>
    <w:p>
      <w:pPr>
        <w:ind w:left="420"/>
      </w:pPr>
      <w:r>
        <w:t xml:space="preserve">4. wie sich die in den Nummern 1 und 2 bezeichneten Beträge und die Bemessungsgrundlage nach Absatz 3 auf steuerpflichtige und steuerfreie Leistungen verteilen.</w:t>
      </w:r>
    </w:p>
    <w:p>
      <w:r>
        <w:rPr>
          <w:color w:val="555555"/>
          <w:sz w:val="17"/>
        </w:rPr>
        <w:t xml:space="preserve">Zitiervorschlag: § 25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