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UStG 1980 — Durchschnittssätze für land- und forstwirtschaftliche Betriebe</w:t>
      </w:r>
    </w:p>
    <w:p>
      <w:r>
        <w:rPr>
          <w:color w:val="555555"/>
          <w:sz w:val="18"/>
        </w:rPr>
        <w:t xml:space="preserve">Umsatzsteuergesetz</w:t>
      </w:r>
    </w:p>
    <w:p>
      <w:r>
        <w:rPr>
          <w:color w:val="555555"/>
          <w:sz w:val="18"/>
        </w:rPr>
        <w:t xml:space="preserve">Stand: 01.01.2025 (konsolidierte Textfassung, kein amtliches Inkrafttretensdatum)</w:t>
      </w:r>
    </w:p>
    <w:p>
      <w:r>
        <w:t xml:space="preserve">(1) Hat der Gesamtumsatz des Unternehmers (§ 19 Absatz 2) im vorangegangenen Kalenderjahr nicht mehr als 600 000 Euro betragen, wird die Steuer für die im Rahmen eines land- und forstwirtschaftlichen Betriebs ausgeführten Umsätze vorbehaltlich der Sätze 2 bis 4 wie folgt festgesetzt:</w:t>
      </w:r>
    </w:p>
    <w:p>
      <w:pPr>
        <w:ind w:left="420"/>
      </w:pPr>
      <w:r>
        <w:t xml:space="preserve">1. für die Lieferungen von forstwirtschaftlichen Erzeugnissen, ausgenommen Sägewerkserzeugnisse, auf 5,5 Prozent,</w:t>
      </w:r>
    </w:p>
    <w:p>
      <w:pPr>
        <w:ind w:left="420"/>
      </w:pPr>
      <w:r>
        <w:t xml:space="preserve">2. für die Lieferungen der in der Anlage 2 nicht aufgeführten Sägewerkserzeugnisse und Getränke sowie von alkoholischen Flüssigkeiten, ausgenommen die Lieferungen in das Ausland und die im Ausland bewirkten Umsätze, und für sonstige Leistungen, soweit in der Anlage 2 nicht aufgeführte Getränke abgegeben werden, auf 19 Prozent,</w:t>
      </w:r>
    </w:p>
    <w:p>
      <w:pPr>
        <w:ind w:left="420"/>
      </w:pPr>
      <w:r>
        <w:t xml:space="preserve">3. für die übrigen Umsätze im Sinne des § 1 Absatz 1 Nummer 1 auf 7,8 Prozent der Bemessungsgrundlage.</w:t>
      </w:r>
    </w:p>
    <w:p>
      <w:r>
        <w:t xml:space="preserve">Die Befreiungen nach § 4 mit Ausnahme der Nummern 1 bis 7 bleiben unberührt; § 9 findet keine Anwendung. Die Vorsteuerbeträge werden, soweit sie den in Satz 1 Nummer 1 bezeichneten Umsätzen zuzurechnen sind, mit dem dort bestimmten Prozentsatz, in den übrigen Fällen des Satzes 1 mit dem in Satz 1 Nummer 3 bestimmten Prozentsatz der Bemessungsgrundlage für diese Umsätze festgesetzt. Ein weiterer Vorsteuerabzug entfällt. § 14 ist mit der Maßgabe anzuwenden, dass der für den Umsatz maßgebliche Durchschnittssatz in der Rechnung zusätzlich anzugeben ist.</w:t>
      </w:r>
    </w:p>
    <w:p>
      <w:r>
        <w:t xml:space="preserve">(2) Als land- und forstwirtschaftlicher Betrieb gelten</w:t>
      </w:r>
    </w:p>
    <w:p>
      <w:pPr>
        <w:ind w:left="420"/>
      </w:pPr>
      <w:r>
        <w:t xml:space="preserve">1. die Landwirtschaft, die Forstwirtschaft, der Wein-, Garten-, Obst- und Gemüsebau, die Baumschulen, alle Betriebe, die Pflanzen und Pflanzenteile mit Hilfe der Naturkräfte gewinnen, die Binnenfischerei, die Teichwirtschaft, die Fischzucht für die Binnenfischerei und Teichwirtschaft, die Imkerei, die Wanderschäferei sowie die Saatzucht;</w:t>
      </w:r>
    </w:p>
    <w:p>
      <w:pPr>
        <w:ind w:left="420"/>
      </w:pPr>
      <w:r>
        <w:t xml:space="preserve">2. Tierzucht- und Tierhaltungsbetriebe, soweit ihre Tierbestände nach § 241 des Bewertungsgesetzes zur landwirtschaftlichen Nutzung gehören oder diese die Voraussetzungen des § 13 Absatz 1 Nummer 1 Satz 2 des Einkommensteuergesetzes in Verbindung mit § 13b des Einkommensteuergesetzes erfüllen.</w:t>
      </w:r>
    </w:p>
    <w:p>
      <w:r>
        <w:t xml:space="preserve">Zum land- und forstwirtschaftlichen Betrieb gehören auch die Nebenbetriebe, die dem land- und forstwirtschaftlichen Betrieb zu dienen bestimmt sind.</w:t>
      </w:r>
    </w:p>
    <w:p>
      <w:r>
        <w:t xml:space="preserve">(3) Führt der Unternehmer neben den in Absatz 1 bezeichneten Umsätzen auch andere Umsätze aus, so ist der land- und forstwirtschaftliche Betrieb als ein in der Gliederung des Unternehmens gesondert geführter Betrieb zu behandeln.</w:t>
      </w:r>
    </w:p>
    <w:p>
      <w:r>
        <w:t xml:space="preserve">(4) Der Unternehmer kann spätestens bis zum 10. Tag eines Kalenderjahres gegenüber dem Finanzamt erklären, dass seine Umsätze vom Beginn des vorangegangenen Kalenderjahres an nicht nach den Absätzen 1 bis 3, sondern nach den allgemeinen Vorschriften dieses Gesetzes besteuert werden sollen. Die Erklärung bindet den Unternehmer mindestens für fünf Kalenderjahre; im Falle der Geschäftsveräußerung ist der Erwerber an diese Frist gebunden. Sie kann mit Wirkung vom Beginn eines Kalenderjahres an widerrufen werden. Der Widerruf ist spätestens bis zum 10. Tag nach Beginn dieses Kalenderjahres zu erklären. Die Frist nach Satz 4 kann verlängert werden. Ist die Frist bereits abgelaufen, so kann sie rückwirkend verlängert werden, wenn es unbillig wäre, die durch den Fristablauf eingetretenen Rechtsfolgen bestehen zu lassen.</w:t>
      </w:r>
    </w:p>
    <w:p>
      <w:r>
        <w:t xml:space="preserve">(5) Ergibt sich in einem Folgejahr aus der Berechnung nach Anlage 5 eine Abweichung zum Prozentsatz nach Absatz 1 Satz 1 Nummer 3, so ändert das Bundesministerium der Finanzen diesen durch Rechtsverordnung mit Zustimmung des Bundesrates jeweils mit Wirkung zum 1. Januar des Folgejahres entsprechend.</w:t>
      </w:r>
    </w:p>
    <w:p>
      <w:r>
        <w:rPr>
          <w:color w:val="555555"/>
          <w:sz w:val="17"/>
        </w:rPr>
        <w:t xml:space="preserve">Zitiervorschlag: § 24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