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22d UStG 1980 — Steuernummer und zuständiges Finanzamt</w:t>
      </w:r>
    </w:p>
    <w:p>
      <w:r>
        <w:rPr>
          <w:color w:val="555555"/>
          <w:sz w:val="18"/>
        </w:rPr>
        <w:t xml:space="preserve">Umsatzsteuergesetz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Fiskalvertreter erhält für seine Tätigkeit eine gesonderte Steuernummer und eine gesonderte Umsatzsteuer-Identifikationsnummer nach § 27a, unter der er für alle von ihm vertretenen im Ausland ansässigen Unternehmen auftritt.</w:t>
      </w:r>
    </w:p>
    <w:p>
      <w:r>
        <w:t xml:space="preserve">(2) Der Fiskalvertreter wird bei dem Finanzamt geführt, das für seine Umsatzbesteuerung zuständig ist.</w:t>
      </w:r>
    </w:p>
    <w:p>
      <w:r>
        <w:rPr>
          <w:color w:val="555555"/>
          <w:sz w:val="17"/>
        </w:rPr>
        <w:t xml:space="preserve">Zitiervorschlag: § 22d UStG 1980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https://recht.nulegal.eu/gesetze/UStG%201980/22d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