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18d UStG 1980 — Vorlage von Urkunden</w:t>
      </w:r>
    </w:p>
    <w:p>
      <w:r>
        <w:rPr>
          <w:color w:val="555555"/>
          <w:sz w:val="18"/>
        </w:rPr>
        <w:t xml:space="preserve">Umsatzsteuergesetz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Finanzbehörden sind zur Erfüllung der Auskunftsverpflichtung nach der Verordnung (EU) Nr. 904/2010 des Rates vom 7. Oktober 2010 über die Zusammenarbeit der Verwaltungsbehörden und die Betrugsbekämpfung auf dem Gebiet der Mehrwertsteuer (ABl. L 268 vom 12.10.2010, S. 1) berechtigt, von Unternehmern die Vorlage der jeweils erforderlichen Bücher, Aufzeichnungen, Geschäftspapiere und anderen Urkunden zur Einsicht und Prüfung zu verlangen. § 97 Absatz 2 der Abgabenordnung gilt entsprechend. Der Unternehmer hat auf Verlangen der Finanzbehörde die in Satz 1 bezeichneten Unterlagen vorzulegen.</w:t>
      </w:r>
    </w:p>
    <w:p>
      <w:r>
        <w:rPr>
          <w:color w:val="555555"/>
          <w:sz w:val="17"/>
        </w:rPr>
        <w:t xml:space="preserve">Zitiervorschlag: § 18d UStG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https://recht.nulegal.eu/gesetze/UStG%201980/18d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