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UStG 1980 — Besteuerungsverfahren</w:t>
      </w:r>
    </w:p>
    <w:p>
      <w:r>
        <w:rPr>
          <w:color w:val="555555"/>
          <w:sz w:val="18"/>
        </w:rPr>
        <w:t xml:space="preserve">Umsatzsteuergesetz</w:t>
      </w:r>
    </w:p>
    <w:p>
      <w:r>
        <w:rPr>
          <w:color w:val="555555"/>
          <w:sz w:val="18"/>
        </w:rPr>
        <w:t xml:space="preserve">Stand: 01.01.2025 (konsolidierte Textfassung, kein amtliches Inkrafttretensdatum)</w:t>
      </w:r>
    </w:p>
    <w:p>
      <w:r>
        <w:t xml:space="preserve">(1) Der Unternehmer hat vorbehaltlich des § 18i Absatz 3, des § 18j Absatz 4, des § 18k Absatz 4 und des § 19 Absatz 1 Satz 2 bis zum zehnten Tag nach Ablauf jedes Voranmeldungszeitraums eine Voranmeldung nach amtlich vorgeschriebenem Datensatz über die amtlich bestimmte Schnittstelle zu übermitteln, in der er die Steuer für den Voranmeldungszeitraum (Vorauszahlung) selbst zu berechnen hat. Auf Antrag kann das Finanzamt zur Vermeidung von unbilligen Härten auf eine elektronische Übermittlung verzichten; in diesem Fall hat der Unternehmer eine Voranmeldung nach amtlich vorgeschriebenem Vordruck abzugeben. § 16 Abs. 1 und 2 und § 17 sind entsprechend anzuwenden. Die Vorauszahlung ist am zehnten Tag nach Ablauf des Voranmeldungszeitraums fällig und bis dahin vom Unternehmer zu entrichten.</w:t>
      </w:r>
    </w:p>
    <w:p>
      <w:r>
        <w:t xml:space="preserve">(2) Voranmeldungszeitraum ist das Kalendervierteljahr. Beträgt die Steuer für das vorangegangene Kalenderjahr mehr als 9 000 Euro, ist der Kalendermonat Voranmeldungszeitraum. Beträgt die Steuer für das vorangegangene Kalenderjahr nicht mehr als 2 000 Euro, kann das Finanzamt den Unternehmer von der Verpflichtung zur Abgabe der Voranmeldungen und Entrichtung der Vorauszahlungen befreien. Nimmt der Unternehmer seine berufliche oder gewerbliche Tätigkeit auf, ist im laufenden und folgenden Kalenderjahr Voranmeldungszeitraum der Kalendermonat. Daneben ist im laufenden und folgenden Kalenderjahr in folgenden Fällen Voranmeldungszeitraum der Kalendermonat:</w:t>
      </w:r>
    </w:p>
    <w:p>
      <w:pPr>
        <w:ind w:left="420"/>
      </w:pPr>
      <w:r>
        <w:t xml:space="preserve">1. bei im Handelsregister eingetragenen, noch nicht gewerblich oder beruflich tätig gewesenen juristischen Personen oder Personengesellschaften, die objektiv belegbar die Absicht haben, eine gewerbliche oder berufliche Tätigkeit selbständig auszuüben (Vorratsgesellschaften), und zwar ab dem Zeitpunkt des Beginns der tatsächlichen Ausübung dieser Tätigkeit, und</w:t>
      </w:r>
    </w:p>
    <w:p>
      <w:pPr>
        <w:ind w:left="420"/>
      </w:pPr>
      <w:r>
        <w:t xml:space="preserve">2. bei der Übernahme von juristischen Personen oder Personengesellschaften, die bereits gewerblich oder beruflich tätig gewesen sind und zum Zeitpunkt der Übernahme ruhen oder nur geringfügig gewerblich oder beruflich tätig sind (Firmenmantel), und zwar ab dem Zeitpunkt der Übernahme.</w:t>
      </w:r>
    </w:p>
    <w:p>
      <w:r>
        <w:t xml:space="preserve">Für die Besteuerungszeiträume 2021 bis 2026 ist abweichend von Satz 4 in den Fällen, in denen der Unternehmer seine gewerbliche oder berufliche Tätigkeit nur in einem Teil des vorangegangenen Kalenderjahres ausgeübt hat, die tatsächliche Steuer in eine Jahressteuer umzurechnen und in den Fällen, in denen der Unternehmer seine gewerbliche oder berufliche Tätigkeit im laufenden Kalenderjahr aufnimmt, die voraussichtliche Steuer des laufenden Kalenderjahres maßgebend.</w:t>
      </w:r>
    </w:p>
    <w:p>
      <w:r>
        <w:t xml:space="preserve">(2a) Der Unternehmer kann an Stelle des Kalendervierteljahres den Kalendermonat als Voranmeldungszeitraum wählen, wenn sich für das vorangegangene Kalenderjahr ein Überschuss zu seinen Gunsten von mehr als 9 000 Euro ergibt. In diesem Fall hat der Unternehmer bis zum 10. Februar des laufenden Kalenderjahres eine Voranmeldung für den ersten Kalendermonat abzugeben. Die Ausübung des Wahlrechts bindet den Unternehmer für dieses Kalenderjahr. Absatz 2 Satz 6 gilt entsprechend.</w:t>
      </w:r>
    </w:p>
    <w:p>
      <w:r>
        <w:t xml:space="preserve">(3) Der Unternehmer hat vorbehaltlich des § 18i Absatz 3, des § 18j Absatz 4, des § 18k Absatz 4 und des § 19 Absatz 1 Satz 2 für das Kalenderjahr oder für den kürzeren Besteuerungszeitraum eine Steuererklärung nach amtlich vorgeschriebenem Datensatz über die amtlich bestimmte Schnittstelle zu übermitteln, in der er die zu entrichtende Steuer oder den Überschuss, der sich zu seinen Gunsten ergibt, nach § 16 Absatz 1 bis 4 und § 17 selbst zu berechnen hat (Steueranmeldung). In den Fällen des § 16 Absatz 3 und 4 ist die Steueranmeldung binnen einem Monat nach Ablauf des kürzeren Besteuerungszeitraums zu übermitteln. Auf Antrag kann das Finanzamt zur Vermeidung von unbilligen Härten auf eine elektronische Übermittlung verzichten; in diesem Fall hat der Unternehmer eine Steueranmeldung nach amtlich vorgeschriebenem Vordruck abzugeben und eigenhändig zu unterschreiben.</w:t>
      </w:r>
    </w:p>
    <w:p>
      <w:r>
        <w:t xml:space="preserve">(4) Berechnet der Unternehmer die zu entrichtende Steuer oder den Überschuss in der Steueranmeldung für das Kalenderjahr abweichend von der Summe der Vorauszahlungen, so ist der Unterschiedsbetrag zugunsten des Finanzamts einen Monat nach dem Eingang der Steueranmeldung fällig und bis dahin vom Unternehmer zu entrichten. Setzt das Finanzamt die zu entrichtende Steuer oder den Überschuss abweichend von der Steueranmeldung für den Voranmeldungszeitraum oder für das Kalenderjahr oder auf Grund unterbliebener Abgabe der Steueranmeldung fest, so ist der Unterschiedsbetrag zugunsten des Finanzamts einen Monat nach der Bekanntgabe des Steuerbescheids fällig und bis dahin vom Unternehmer zu entrichten. Die Fälligkeit rückständiger Vorauszahlungen (Absatz 1) bleibt von den Sätzen 1 und 2 unberührt.</w:t>
      </w:r>
    </w:p>
    <w:p>
      <w:r>
        <w:t xml:space="preserve">(4a) Voranmeldungen (Absätze 1 und 2) und eine Steuererklärung (Absätze 3 und 4) haben auch die Unternehmer und juristischen Personen abzugeben, die ausschließlich Steuer für Umsätze nach § 1 Abs. 1 Nr. 5, § 13b Absatz 5 oder § 25b Abs. 2 zu entrichten haben, sowie Fahrzeuglieferer (§ 2a). Voranmeldungen sind nur für die Voranmeldungszeiträume abzugeben, in denen die Steuer für diese Umsätze zu erklären ist. Die Anwendung des Absatzes 2a ist ausgeschlossen.</w:t>
      </w:r>
    </w:p>
    <w:p>
      <w:r>
        <w:t xml:space="preserve">(4b) Für Personen, die keine Unternehmer sind und Steuerbeträge nach § 6a Abs. 4 Satz 2 oder nach § 14c Abs. 2 schulden, gilt Absatz 4a entsprechend.</w:t>
      </w:r>
    </w:p>
    <w:p>
      <w:r>
        <w:t xml:space="preserve">(4c) Ein nicht im Gemeinschaftsgebiet ansässiger Unternehmer, der vor dem 1. Juli 2021 als Steuerschuldner Umsätze nach § 3a Absatz 5 im Gemeinschaftsgebiet erbringt, kann abweichend von den Absätzen 1 bis 4 für jeden Besteuerungszeitraum (§ 16 Absatz 1a Satz 1) eine Steuererklärung nach amtlich vorgeschriebenem Datensatz über die amtlich bestimmte Schnittstelle bis zum 20. Tag nach Ablauf jedes Besteuerungszeitraums dem Bundeszentralamt für Steuern übermitteln, in der er die Steuer für die vorgenannten Umsätze selbst zu berechnen hat (Steueranmeldung). Die Steuer ist am 20. Tag nach Ablauf des Besteuerungszeitraums fällig und bis dahin vom Unternehmer zu entrichten. Die Ausübung des Wahlrechts hat der Unternehmer auf dem amtlich vorgeschriebenen, elektronisch zu übermittelnden Dokument dem Bundeszentralamt für Steuern anzuzeigen, bevor er Umsätze nach § 3a Abs. 5 im Gemeinschaftsgebiet erbringt. Das Wahlrecht kann nur mit Wirkung vom Beginn eines Besteuerungszeitraums an widerrufen werden. Der Widerruf ist vor Beginn des Besteuerungszeitraums, für den er gelten soll, gegenüber dem Bundeszentralamt für Steuern auf elektronischem Weg zu erklären. Kommt der Unternehmer seinen Verpflichtungen nach den Sätzen 1 bis 3 oder § 22 Abs. 1 wiederholt nicht oder nicht rechtzeitig nach, schließt ihn das Bundeszentralamt für Steuern von dem Besteuerungsverfahren nach Satz 1 aus. Der Ausschluss gilt ab dem Besteuerungszeitraum, der nach dem Zeitpunkt der Bekanntgabe des Ausschlusses gegenüber dem Unternehmer beginnt.</w:t>
      </w:r>
    </w:p>
    <w:p>
      <w:r>
        <w:t xml:space="preserve">(4d) Für nicht im Gemeinschaftsgebiet ansässige Unternehmer, die vor dem 1. Juli 2021 im Inland im Besteuerungszeitraum (§ 16 Absatz 1 Satz 2) als Steuerschuldner Umsätze nach § 3a Absatz 5 erbringen und diese Umsätze in einem anderen Mitgliedstaat erklären sowie die darauf entfallende Steuer entrichten, gelten insoweit die Absätze 1 bis 4 nicht.</w:t>
      </w:r>
    </w:p>
    <w:p>
      <w:r>
        <w:t xml:space="preserve">(4e) Ein im übrigen Gemeinschaftsgebiet ansässiger Unternehmer (§ 13b Absatz 7 Satz 2), der vor dem 1. Juli 2021 als Steuerschuldner Umsätze nach § 3a Absatz 5 im Inland erbringt, kann abweichend von den Absätzen 1 bis 4 für jeden Besteuerungszeitraum (§ 16 Absatz 1b Satz 1) eine Steuererklärung nach amtlich vorgeschriebenem Datensatz über die amtlich bestimmte Schnittstelle bis zum 20. Tag nach Ablauf jedes Besteuerungszeitraums übermitteln, in der er die Steuer für die vorgenannten Umsätze selbst zu berechnen hat; dies gilt nur, wenn der Unternehmer im Inland, auf der Insel Helgoland und in einem der in § 1 Absatz 3 bezeichneten Gebiete weder seinen Sitz, seine Geschäftsleitung noch eine Betriebsstätte hat. Die Steuererklärung ist der zuständigen Steuerbehörde des Mitgliedstaates der Europäischen Union zu übermitteln, in dem der Unternehmer ansässig ist; diese Steuererklärung ist ab dem Zeitpunkt eine Steueranmeldung im Sinne des § 150 Absatz 1 Satz 3 und des § 168 der Abgabenordnung, zu dem die in ihr enthaltenen Daten von der zuständigen Steuerbehörde des Mitgliedstaates der Europäischen Union, an die der Unternehmer die Steuererklärung übermittelt hat, dem Bundeszentralamt für Steuern übermittelt und dort in bearbeitbarer Weise aufgezeichnet wurden. Satz 2 gilt für die Berichtigung einer Steuererklärung entsprechend. Die Steuer ist am 20. Tag nach Ablauf des Besteuerungszeitraums fällig und bis dahin vom Unternehmer zu entrichten. Die Ausübung des Wahlrechts nach Satz 1 hat der Unternehmer in dem amtlich vorgeschriebenen, elektronisch zu übermittelnden Dokument der Steuerbehörde des Mitgliedstaates der Europäischen Union, in dem der Unternehmer ansässig ist, vor Beginn des Besteuerungszeitraums anzuzeigen, ab dessen Beginn er von dem Wahlrecht Gebrauch macht. Das Wahlrecht kann nur mit Wirkung vom Beginn eines Besteuerungszeitraums an widerrufen werden. Der Widerruf ist vor Beginn des Besteuerungszeitraums, für den er gelten soll, gegenüber der Steuerbehörde des Mitgliedstaates der Europäischen Union, in dem der Unternehmer ansässig ist, auf elektronischem Weg zu erklären. Kommt der Unternehmer seinen Verpflichtungen nach den Sätzen 1 bis 5 oder § 22 Absatz 1 wiederholt nicht oder nicht rechtzeitig nach, schließt ihn die zuständige Steuerbehörde des Mitgliedstaates der Europäischen Union, in dem der Unternehmer ansässig ist, von dem Besteuerungsverfahren nach Satz 1 aus. Der Ausschluss gilt ab dem Besteuerungszeitraum, der nach dem Zeitpunkt der Bekanntgabe des Ausschlusses gegenüber dem Unternehmer beginnt. Die Steuererklärung nach Satz 1 gilt als fristgemäß übermittelt, wenn sie bis zum 20. Tag nach Ablauf des Besteuerungszeitraums (§ 16 Absatz 1b Satz 1) der zuständigen Steuerbehörde des Mitgliedstaates der Europäischen Union übermittelt worden ist, in dem der Unternehmer ansässig ist, und dort in bearbeitbarer Weise aufgezeichnet wurde. Die Entrichtung der Steuer erfolgt entsprechend Satz 4 fristgemäß, wenn die Zahlung bis zum 20. Tag nach Ablauf des Besteuerungszeitraums (§ 16 Absatz 1b Satz 1) bei der zuständigen Steuerbehörde des Mitgliedstaates der Europäischen Union, in dem der Unternehmer ansässig ist, eingegangen ist. § 240 der Abgabenordnung ist mit der Maßgabe anzuwenden, dass eine Säumnis frühestens mit Ablauf des 10. Tages nach Ablauf des auf den Besteuerungszeitraum (§ 16 Absatz 1b Satz 1) folgenden übernächsten Monats eintritt.</w:t>
      </w:r>
    </w:p>
    <w:p>
      <w:r>
        <w:t xml:space="preserve">(4f) Soweit Organisationseinheiten der Gebietskörperschaften Bund und Länder durch ihr Handeln eine Erklärungspflicht begründen, obliegen der jeweiligen Organisationseinheit für die Umsatzbesteuerung alle steuerlichen Rechte und Pflichten. In den in § 30 Absatz 2 Nummer 1 Buchstabe a und b der Abgabenordnung genannten Verfahren tritt die Organisationseinheit insoweit an die Stelle der Gebietskörperschaft. § 2 Absatz 1 Satz 2 bleibt unberührt. Die Organisationseinheiten können jeweils für ihren Geschäftsbereich durch Organisationsentscheidungen weitere untergeordnete Organisationseinheiten mit Wirkung für die Zukunft bilden. Einer Organisationseinheit übergeordnete Organisationseinheiten können durch Organisationsentscheidungen mit Wirkung für die Zukunft die in Satz 1 genannten Rechte und Pflichten der untergeordneten Organisationseinheit wahrnehmen oder mehrere Organisationseinheiten zu einer Organisationseinheit zusammenschließen. Die in § 1a Absatz 3 Nummer 2, § 2b Absatz 2 Nummer 1, § 3a Absatz 5 Satz 3, § 3c Absatz 4 Satz 1, § 18 Absatz 2 Satz 2, § 18a Absatz 1 Satz 2, § 19 Absatz 1, § 20 Satz 1 Nummer 1 und § 24 Absatz 1 Satz 1 genannten Betragsgrenzen gelten für Organisationseinheiten stets als überschritten. Wahlrechte, deren Rechtsfolgen das gesamte Unternehmen der Gebietskörperschaft erfassen, können nur einheitlich ausgeübt werden. Die Gebietskörperschaft kann gegenüber dem für sie zuständigen Finanzamt mit Wirkung für die Zukunft erklären, dass die Sätze 1 bis 5 nicht zur Anwendung kommen sollen; ein Widerruf ist nur mit Wirkung für die Zukunft möglich.</w:t>
      </w:r>
    </w:p>
    <w:p>
      <w:r>
        <w:t xml:space="preserve">(4g) Die oberste Landesfinanzbehörde oder die von ihr beauftragte Landesfinanzbehörde kann anordnen, dass eine andere als die nach § 21 Absatz 1 der Abgabenordnung örtlich zuständige Finanzbehörde die Besteuerung einer Organisationseinheit des jeweiligen Landes übernimmt. Die oberste Landesfinanzbehörde oder die von ihr beauftragte Landesfinanzbehörde kann mit der obersten Finanzbehörde eines anderen Landes oder einer von dieser beauftragten Landesfinanzbehörde vereinbaren, dass eine andere als die nach § 21 Absatz 1 der Abgabenordnung zuständige Finanzbehörde die Besteuerung einer Organisationseinheit des Landes der zuständigen Finanzbehörde übernimmt. Die Senatsverwaltung für Finanzen von Berlin oder eine von ihr beauftragte Landesfinanzbehörde kann mit der obersten Finanzbehörde eines anderen Landes oder mit einer von dieser beauftragten Landesfinanzbehörde vereinbaren, dass eine andere als die nach § 21 Absatz 1 der Abgabenordnung zuständige Finanzbehörde die Besteuerung für eine Organisationseinheit der Gebietskörperschaft Bund übernimmt.</w:t>
      </w:r>
    </w:p>
    <w:p>
      <w:r>
        <w:t xml:space="preserve">(5) In den Fällen der Beförderungseinzelbesteuerung (§ 16 Abs. 5) ist abweichend von den Absätzen 1 bis 4 wie folgt zu verfahren:</w:t>
      </w:r>
    </w:p>
    <w:p>
      <w:pPr>
        <w:ind w:left="420"/>
      </w:pPr>
      <w:r>
        <w:t xml:space="preserve">1. Der Beförderer hat für jede einzelne Fahrt eine Steuererklärung nach amtlich vorgeschriebenem Vordruck in zwei Stücken bei der zuständigen Zolldienststelle abzugeben.</w:t>
      </w:r>
    </w:p>
    <w:p>
      <w:pPr>
        <w:ind w:left="420"/>
      </w:pPr>
      <w:r>
        <w:t xml:space="preserve">2. Die zuständige Zolldienststelle setzt für das zuständige Finanzamt die Steuer auf beiden Stücken der Steuererklärung fest und gibt ein Stück dem Beförderer zurück, der die Steuer gleichzeitig zu entrichten hat. Der Beförderer hat dieses Stück mit der Steuerquittung während der Fahrt mit sich zu führen.</w:t>
      </w:r>
    </w:p>
    <w:p>
      <w:pPr>
        <w:ind w:left="420"/>
      </w:pPr>
      <w:r>
        <w:t xml:space="preserve">3. Der Beförderer hat bei der zuständigen Zolldienststelle, bei der er die Grenze zum Drittlandsgebiet überschreitet, eine weitere Steuererklärung in zwei Stücken abzugeben, wenn sich die Zahl der Personenkilometer (§ 10 Abs. 6 Satz 2), von der bei der Steuerfestsetzung nach Nummer 2 ausgegangen worden ist, geändert hat. Die Zolldienststelle setzt die Steuer neu fest. Gleichzeitig ist ein Unterschiedsbetrag zugunsten des Finanzamts zu entrichten oder ein Unterschiedsbetrag zugunsten des Beförderers zu erstatten. Die Sätze 2 und 3 sind nicht anzuwenden, wenn der Unterschiedsbetrag weniger als 2,50 Euro beträgt. Die Zolldienststelle kann in diesen Fällen auf eine schriftliche Steuererklärung verzichten.</w:t>
      </w:r>
    </w:p>
    <w:p>
      <w:r>
        <w:t xml:space="preserve">(5a) In den Fällen der Fahrzeugeinzelbesteuerung (§ 16 Absatz 5a) hat der Erwerber, abweichend von den Absätzen 1 bis 4, spätestens bis zum 10. Tag nach Ablauf des Tages, an dem die Steuer entstanden ist, eine Steuererklärung, in der er die zu entrichtende Steuer selbst zu berechnen hat, nach amtlich vorgeschriebenem Datensatz durch Datenfernübertragung zu übermitteln oder nach amtlich vorgeschriebenem Vordruck abzugeben (Steueranmeldung). Bei Verwendung des Vordrucks muss dieser vom Erwerber eigenhändig unterschrieben sein. Gibt der Erwerber die Steueranmeldung nicht ab oder hat er die Steuer nicht richtig berechnet, so kann die Finanzbehörde die Steuer festsetzen. Die Steuer ist am zehnten Tag nach Ablauf des Tages fällig, an dem sie entstanden ist, und ist bis dahin vom Erwerber zu entrichten.</w:t>
      </w:r>
    </w:p>
    <w:p>
      <w:r>
        <w:t xml:space="preserve">(5b) In den Fällen des § 16 Abs. 5b ist das Besteuerungsverfahren nach den Absätzen 3 und 4 durchzuführen. Die bei der Beförderungseinzelbesteuerung (§ 16 Abs. 5) entrichtete Steuer ist auf die nach Absatz 3 Satz 1 zu entrichtende Steuer anzurechnen.</w:t>
      </w:r>
    </w:p>
    <w:p>
      <w:r>
        <w:t xml:space="preserve">(6) Zur Vermeidung von Härten kann das Bundesministerium der Finanzen mit Zustimmung des Bundesrates durch Rechtsverordnung die Fristen für die Voranmeldungen und Vorauszahlungen um einen Monat verlängern und das Verfahren näher bestimmen. Dabei kann angeordnet werden, dass der Unternehmer eine Sondervorauszahlung auf die Steuer für das Kalenderjahr zu entrichten hat.</w:t>
      </w:r>
    </w:p>
    <w:p>
      <w:r>
        <w:t xml:space="preserve">(7) Zur Vereinfachung des Besteuerungsverfahrens kann das Bundesministerium der Finanzen mit Zustimmung des Bundesrates durch Rechtsverordnung bestimmen, dass und unter welchen Voraussetzungen auf die Erhebung der Steuer für Lieferungen von Gold, Silber und Platin sowie sonstige Leistungen im Geschäft mit diesen Edelmetallen zwischen Unternehmern, die an einer Wertpapierbörse im Inland mit dem Recht zur Teilnahme am Handel zugelassen sind, verzichtet werden kann. Das gilt nicht für Münzen und Medaillen aus diesen Edelmetallen.</w:t>
      </w:r>
    </w:p>
    <w:p>
      <w:r>
        <w:t xml:space="preserve">(8) (weggefallen)</w:t>
      </w:r>
    </w:p>
    <w:p>
      <w:r>
        <w:t xml:space="preserve">(9) Zur Vereinfachung des Besteuerungsverfahrens kann das Bundesministerium der Finanzen mit Zustimmung des Bundesrates durch Rechtsverordnung die Vergütung der Vorsteuerbeträge (§ 15) an im Ausland ansässige Unternehmer, abweichend von § 16 und von den Absätzen 1 bis 4, in einem besonderen Verfahren regeln. Dabei kann auch angeordnet werden,</w:t>
      </w:r>
    </w:p>
    <w:p>
      <w:pPr>
        <w:ind w:left="420"/>
      </w:pPr>
      <w:r>
        <w:t xml:space="preserve">1. dass die Vergütung nur erfolgt, wenn sie eine bestimmte Mindesthöhe erreicht,</w:t>
      </w:r>
    </w:p>
    <w:p>
      <w:pPr>
        <w:ind w:left="420"/>
      </w:pPr>
      <w:r>
        <w:t xml:space="preserve">2. innerhalb welcher Frist der Vergütungsantrag zu stellen ist,</w:t>
      </w:r>
    </w:p>
    <w:p>
      <w:pPr>
        <w:ind w:left="420"/>
      </w:pPr>
      <w:r>
        <w:t xml:space="preserve">3. in welchen Fällen der Unternehmer den Antrag eigenhändig zu unterschreiben hat,</w:t>
      </w:r>
    </w:p>
    <w:p>
      <w:pPr>
        <w:ind w:left="420"/>
      </w:pPr>
      <w:r>
        <w:t xml:space="preserve">4. wie und in welchem Umfang Vorsteuerbeträge durch Vorlage von Rechnungen und Einfuhrbelegen nachzuweisen sind,</w:t>
      </w:r>
    </w:p>
    <w:p>
      <w:pPr>
        <w:ind w:left="420"/>
      </w:pPr>
      <w:r>
        <w:t xml:space="preserve">5. dass der Bescheid über die Vergütung der Vorsteuerbeträge elektronisch erteilt wird,</w:t>
      </w:r>
    </w:p>
    <w:p>
      <w:pPr>
        <w:ind w:left="420"/>
      </w:pPr>
      <w:r>
        <w:t xml:space="preserve">6. wie und in welchem Umfang der zu vergütende Betrag zu verzinsen ist.</w:t>
      </w:r>
    </w:p>
    <w:p>
      <w:r>
        <w:t xml:space="preserve">Von der Vergütung ausgeschlossen sind in Rechnung gestellte Steuerbeträge für Ausfuhrlieferungen, bei denen die Gegenstände vom Abnehmer oder von einem von ihm beauftragten Dritten befördert oder versendet wurden, die nach § 4 Nummer 1 Buchstabe a in Verbindung mit § 6 steuerfrei sind, oder für innergemeinschaftliche Lieferungen, die nach § 4 Nummer 1 Buchstabe b in Verbindung mit § 6a steuerfrei sind oder in Bezug auf § 6a Absatz 1 Satz 1 Nummer 4 steuerfrei sein können. Sind die durch die Rechtsverordnung nach den Sätzen 1 und 2 geregelten Voraussetzungen des besonderen Verfahrens erfüllt und schuldet der im Ausland ansässige Unternehmer ausschließlich Steuer nach § 13a Absatz 1 Nummer 1 in Verbindung mit § 14c Absatz 1 oder § 13a Absatz 1 Nummer 4, kann die Vergütung der Vorsteuerbeträge nur in dem besonderen Verfahren durchgeführt werden. Einem Unternehmer, der im Gemeinschaftsgebiet ansässig ist und Umsätze ausführt, die zum Teil den Vorsteuerabzug ausschließen, wird die Vorsteuer höchstens in der Höhe vergütet, in der er in dem Mitgliedstaat, in dem er ansässig ist, bei Anwendung eines Pro-rata-Satzes zum Vorsteuerabzug berechtigt wäre. Einem Unternehmer, der nicht im Gemeinschaftsgebiet ansässig ist, wird die Vorsteuer nur vergütet, wenn in dem Land, in dem der Unternehmer seinen Sitz hat, keine Umsatzsteuer oder ähnliche Steuer erhoben oder im Fall der Erhebung im Inland ansässigen Unternehmern vergütet wird. Von der Vergütung ausgeschlossen sind bei Unternehmern, die nicht im Gemeinschaftsgebiet ansässig sind, die Vorsteuerbeträge, die auf den Bezug von Kraftstoffen entfallen, soweit diese nicht weitergeliefert werden. Die Sätze 6 und 7 gelten nicht für Unternehmer, die nicht im Gemeinschaftsgebiet ansässig sind, soweit sie im Besteuerungszeitraum (§ 16 Absatz 1 Satz 2) vor dem 1. Juli 2021 als Steuerschuldner Umsätze nach § 3a Absatz 5 im Gemeinschaftsgebiet erbracht und für diese Umsätze von § 18 Absatz 4c Gebrauch gemacht haben oder diese Umsätze in einem anderen Mitgliedstaat erklärt sowie die darauf entfallende Steuer entrichtet haben; Voraussetzung ist, dass die Vorsteuerbeträge im Zusammenhang mit Umsätzen nach § 3a Absatz 5 stehen. Die Sätze 6 und 7 gelten auch nicht für Unternehmer, die nicht im Gemeinschaftsgebiet ansässig sind, soweit sie im Besteuerungszeitraum (§ 16 Absatz 1 Satz 2) nach dem 30. Juni 2021 als Steuerschuldner Lieferungen nach § 3 Absatz 3a Satz 1 innerhalb eines Mitgliedstaates, Fernverkäufe nach § 3 Absatz 3a Satz 2, innergemeinschaftliche Fernverkäufe nach § 3c Absatz 1 Satz 2 und 3, Fernverkäufe nach § 3c Absatz 2 oder 3 oder sonstige Leistungen an Empfänger nach § 3a Absatz 5 Satz 1 im Gemeinschaftsgebiet erbracht und für diese Umsätze von den §§ 18i, 18j oder 18k Gebrauch gemacht haben; Voraussetzung ist, dass die Vorsteuerbeträge mit Lieferungen nach § 3 Absatz 3a Satz 1 innerhalb eines Mitgliedstaates, Fernverkäufen nach § 3 Absatz 3a Satz 2, innergemeinschaftlichen Fernverkäufen nach § 3c Absatz 1 Satz 2 und 3, Fernverkäufen nach § 3c Absatz 2 oder 3 oder sonstigen Leistungen an Empfänger nach § 3a Absatz 5 Satz 1 im Zusammenhang stehen.</w:t>
      </w:r>
    </w:p>
    <w:p>
      <w:r>
        <w:t xml:space="preserve">(10) Zur Sicherung des Steueranspruchs in den Fällen des innergemeinschaftlichen Erwerbs neuer motorbetriebener Landfahrzeuge und neuer Luftfahrzeuge (§ 1b Abs. 2 und 3) gilt folgendes:</w:t>
      </w:r>
    </w:p>
    <w:p>
      <w:pPr>
        <w:ind w:left="420"/>
      </w:pPr>
      <w:r>
        <w:t xml:space="preserve">1. Die für die Zulassung oder die Registrierung von Fahrzeugen zuständigen Behörden sind verpflichtet, den für die Besteuerung des innergemeinschaftlichen Erwerbs neuer Fahrzeuge zuständigen Finanzbehörden ohne Ersuchen Folgendes mitzuteilen:</w:t>
      </w:r>
    </w:p>
    <w:p>
      <w:pPr>
        <w:ind w:left="780"/>
      </w:pPr>
      <w:r>
        <w:t xml:space="preserve">a) bei neuen motorbetriebenen Landfahrzeugen die erstmalige Ausgabe von Zulassungsbescheinigungen Teil II oder die erstmalige Zuteilung eines amtlichen Kennzeichens bei zulassungsfreien Fahrzeugen. Gleichzeitig sind die in Nummer 2 Buchstabe a bezeichneten Daten und das zugeteilte amtliche Kennzeichen oder, wenn dieses noch nicht zugeteilt worden ist, die Nummer der Zulassungsbescheinigung Teil II zu übermitteln,</w:t>
      </w:r>
    </w:p>
    <w:p>
      <w:pPr>
        <w:ind w:left="780"/>
      </w:pPr>
      <w:r>
        <w:t xml:space="preserve">b) bei neuen Luftfahrzeugen die erstmalige Registrierung dieser Luftfahrzeuge. Gleichzeitig sind die in Nummer 3 Buchstabe a bezeichneten Daten und das zugeteilte amtliche Kennzeichen zu übermitteln. Als Registrierung im Sinne dieser Vorschrift gilt nicht die Eintragung eines Luftfahrzeugs in das Register für Pfandrechte an Luftfahrzeugen.</w:t>
      </w:r>
    </w:p>
    <w:p>
      <w:pPr>
        <w:ind w:left="420"/>
      </w:pPr>
      <w:r>
        <w:t xml:space="preserve">2. In den Fällen des innergemeinschaftlichen Erwerbs neuer motorbetriebener Landfahrzeuge (§ 1b Absatz 2 Satz 1 Nummer 1 und Absatz 3 Nummer 1) gilt Folgendes:</w:t>
      </w:r>
    </w:p>
    <w:p>
      <w:pPr>
        <w:ind w:left="780"/>
      </w:pPr>
      <w:r>
        <w:t xml:space="preserve">a) Bei der erstmaligen Ausgabe einer Zulassungsbescheinigung Teil II im Inland oder bei der erstmaligen Zuteilung eines amtlichen Kennzeichens für zulassungsfreie Fahrzeuge im Inland hat der Antragsteller die folgenden Angaben zur Übermittlung an die Finanzbehörden zu machen:</w:t>
      </w:r>
    </w:p>
    <w:p>
      <w:pPr>
        <w:ind w:left="1140"/>
      </w:pPr>
      <w:r>
        <w:t xml:space="preserve">aa) den Namen und die Anschrift des Antragstellers sowie das für ihn zuständige Finanzamt (§ 21 der Abgabenordnung),</w:t>
      </w:r>
    </w:p>
    <w:p>
      <w:pPr>
        <w:ind w:left="1140"/>
      </w:pPr>
      <w:r>
        <w:t xml:space="preserve">bb) den Namen und die Anschrift des Lieferers,</w:t>
      </w:r>
    </w:p>
    <w:p>
      <w:pPr>
        <w:ind w:left="1140"/>
      </w:pPr>
      <w:r>
        <w:t xml:space="preserve">cc) den Tag der Lieferung,</w:t>
      </w:r>
    </w:p>
    <w:p>
      <w:pPr>
        <w:ind w:left="1140"/>
      </w:pPr>
      <w:r>
        <w:t xml:space="preserve">dd) den Tag der ersten Inbetriebnahme,</w:t>
      </w:r>
    </w:p>
    <w:p>
      <w:pPr>
        <w:ind w:left="1140"/>
      </w:pPr>
      <w:r>
        <w:t xml:space="preserve">ee) den Kilometerstand am Tag der Lieferung,</w:t>
      </w:r>
    </w:p>
    <w:p>
      <w:pPr>
        <w:ind w:left="1140"/>
      </w:pPr>
      <w:r>
        <w:t xml:space="preserve">ff) die Fahrzeugart, den Fahrzeughersteller, den Fahrzeugtyp und die Fahrzeug-Identifizierungsnummer,</w:t>
      </w:r>
    </w:p>
    <w:p>
      <w:pPr>
        <w:ind w:left="1140"/>
      </w:pPr>
      <w:r>
        <w:t xml:space="preserve">gg) den Verwendungszweck.</w:t>
      </w:r>
    </w:p>
    <w:p>
      <w:pPr>
        <w:ind w:left="780"/>
      </w:pPr>
      <w:r>
        <w:t xml:space="preserve">Der Antragsteller ist zu den Angaben nach den Doppelbuchstaben aa und bb auch dann verpflichtet, wenn er nicht zu den in § 1a Absatz 1 Nummer 2 und § 1b Absatz 1 genannten Personen gehört oder wenn Zweifel daran bestehen, dass die Eigenschaften als neues Fahrzeug im Sinne des § 1b Absatz 3 Nummer 1 vorliegen. Die Zulassungsbehörde darf die Zulassungsbescheinigung Teil II oder bei zulassungsfreien Fahrzeugen, die nach § 4 Absatz 2 und 3 der Fahrzeug-Zulassungsverordnung ein amtliches Kennzeichen führen, die Zulassungsbescheinigung Teil I erst aushändigen, wenn der Antragsteller die vorstehenden Angaben gemacht hat.</w:t>
      </w:r>
    </w:p>
    <w:p>
      <w:pPr>
        <w:ind w:left="780"/>
      </w:pPr>
      <w:r>
        <w:t xml:space="preserve">b) Ist die Steuer für den innergemeinschaftlichen Erwerb nicht entrichtet worden, hat die Zulassungsbehörde auf Antrag des Finanzamts die Zulassungsbescheinigung Teil I für ungültig zu erklären und das amtliche Kennzeichen zu entstempeln. Die Zulassungsbehörde trifft die hierzu erforderlichen Anordnungen durch schriftlichen Verwaltungsakt (Abmeldungsbescheid). Das Finanzamt kann die Abmeldung von Amts wegen auch selbst durchführen, wenn die Zulassungsbehörde das Verfahren noch nicht eingeleitet hat. Satz 2 gilt entsprechend. Das Finanzamt teilt die durchgeführte Abmeldung unverzüglich der Zulassungsbehörde mit und händigt dem Fahrzeughalter die vorgeschriebene Bescheinigung über die Abmeldung aus. Die Durchführung der Abmeldung von Amts wegen richtet sich nach dem Verwaltungsverfahrensgesetz. Für Streitigkeiten über Abmeldungen von Amts wegen ist der Verwaltungsrechtsweg gegeben.</w:t>
      </w:r>
    </w:p>
    <w:p>
      <w:pPr>
        <w:ind w:left="420"/>
      </w:pPr>
      <w:r>
        <w:t xml:space="preserve">3. In den Fällen des innergemeinschaftlichen Erwerbs neuer Luftfahrzeuge (§ 1b Abs. 2 Satz 1 Nr. 3 und Abs. 3 Nr. 3) gilt Folgendes:</w:t>
      </w:r>
    </w:p>
    <w:p>
      <w:pPr>
        <w:ind w:left="780"/>
      </w:pPr>
      <w:r>
        <w:t xml:space="preserve">a) Bei der erstmaligen Registrierung in der Luftfahrzeugrolle hat der Antragsteller die folgenden Angaben zur Übermittlung an die Finanzbehörden zu machen:</w:t>
      </w:r>
    </w:p>
    <w:p>
      <w:pPr>
        <w:ind w:left="1140"/>
      </w:pPr>
      <w:r>
        <w:t xml:space="preserve">aa) den Namen und die Anschrift des Antragstellers sowie das für ihn zuständige Finanzamt (§ 21 der Abgabenordnung),</w:t>
      </w:r>
    </w:p>
    <w:p>
      <w:pPr>
        <w:ind w:left="1140"/>
      </w:pPr>
      <w:r>
        <w:t xml:space="preserve">bb) den Namen und die Anschrift des Lieferers,</w:t>
      </w:r>
    </w:p>
    <w:p>
      <w:pPr>
        <w:ind w:left="1140"/>
      </w:pPr>
      <w:r>
        <w:t xml:space="preserve">cc) den Tag der Lieferung,</w:t>
      </w:r>
    </w:p>
    <w:p>
      <w:pPr>
        <w:ind w:left="1140"/>
      </w:pPr>
      <w:r>
        <w:t xml:space="preserve">dd) das Entgelt (Kaufpreis),</w:t>
      </w:r>
    </w:p>
    <w:p>
      <w:pPr>
        <w:ind w:left="1140"/>
      </w:pPr>
      <w:r>
        <w:t xml:space="preserve">ee) den Tag der ersten Inbetriebnahme,</w:t>
      </w:r>
    </w:p>
    <w:p>
      <w:pPr>
        <w:ind w:left="1140"/>
      </w:pPr>
      <w:r>
        <w:t xml:space="preserve">ff) die Starthöchstmasse,</w:t>
      </w:r>
    </w:p>
    <w:p>
      <w:pPr>
        <w:ind w:left="1140"/>
      </w:pPr>
      <w:r>
        <w:t xml:space="preserve">gg) die Zahl der bisherigen Betriebsstunden am Tag der Lieferung,</w:t>
      </w:r>
    </w:p>
    <w:p>
      <w:pPr>
        <w:ind w:left="1140"/>
      </w:pPr>
      <w:r>
        <w:t xml:space="preserve">hh) den Flugzeughersteller und den Flugzeugtyp,</w:t>
      </w:r>
    </w:p>
    <w:p>
      <w:pPr>
        <w:ind w:left="1140"/>
      </w:pPr>
      <w:r>
        <w:t xml:space="preserve">ii) den Verwendungszweck.</w:t>
      </w:r>
    </w:p>
    <w:p>
      <w:pPr>
        <w:ind w:left="780"/>
      </w:pPr>
      <w:r>
        <w:t xml:space="preserve">Der Antragsteller ist zu den Angaben nach Satz 1 Doppelbuchstabe aa und bb auch dann verpflichtet, wenn er nicht zu den in § 1a Abs. 1 Nr. 2 und § 1b Abs. 1 genannten Personen gehört oder wenn Zweifel daran bestehen, ob die Eigenschaften als neues Fahrzeug im Sinne des § 1b Abs. 3 Nr. 3 vorliegen. Das Luftfahrt-Bundesamt darf die Eintragung in der Luftfahrzeugrolle erst vornehmen, wenn der Antragsteller die vorstehenden Angaben gemacht hat.</w:t>
      </w:r>
    </w:p>
    <w:p>
      <w:pPr>
        <w:ind w:left="420"/>
      </w:pPr>
      <w:r>
        <w:t xml:space="preserve">b) Ist die Steuer für den innergemeinschaftlichen Erwerb nicht entrichtet worden, so hat das Luftfahrt-Bundesamt auf Antrag des Finanzamts die Betriebserlaubnis zu widerrufen. Es trifft die hierzu erforderlichen Anordnungen durch schriftlichen Verwaltungsakt (Abmeldungsbescheid). Die Durchführung der Abmeldung von Amts wegen richtet sich nach dem Verwaltungsverfahrensgesetz. Für Streitigkeiten über Abmeldungen von Amts wegen ist der Verwaltungsrechtsweg gegeben.</w:t>
      </w:r>
    </w:p>
    <w:p>
      <w:r>
        <w:t xml:space="preserve">(11) Die für die Steueraufsicht zuständigen Zolldienststellen wirken an der umsatzsteuerlichen Erfassung von Personenbeförderungen mit nicht im Inland zugelassenen Kraftomnibussen mit. Sie sind berechtigt, im Rahmen von zeitlich und örtlich begrenzten Kontrollen die nach ihrer äußeren Erscheinung nicht im Inland zugelassenen Kraftomnibusse anzuhalten und die tatsächlichen und rechtlichen Verhältnisse festzustellen, die für die Umsatzsteuer maßgebend sind, und die festgestellten Daten den zuständigen Finanzbehörden zu übermitteln.</w:t>
      </w:r>
    </w:p>
    <w:p>
      <w:r>
        <w:t xml:space="preserve">(12) Im Ausland ansässige Unternehmer nach § 13b Absatz 7, die grenzüberschreitende Personenbeförderungen mit nicht im Inland zugelassenen Kraftomnibussen durchführen, haben sich vor der erstmaligen Ausführung derartiger auf das Inland entfallender Umsätze nach § 3b Absatz 1 Satz 2 bei dem für die Umsatzbesteuerung zuständigen Finanzamt zu registrieren; dies gilt nicht, soweit diese Umsätze der Beförderungseinzelbesteuerung nach § 16 Absatz 5 unterliegen oder der Unternehmer an einem besonderen Besteuerungsverfahren entsprechend Titel XII Kapitel 6 Abschnitt 2 und 3 der Richtlinie 2006/112/EG des Rates in der Fassung von Artikel 2 Nummer 14 bis 20 der Richtlinie (EU) 2017/2455 des Rates vom 5. Dezember 2017 zur Änderung der Richtlinie 2006/112/EG und der Richtlinie 2009/132/EG in Bezug auf bestimmte mehrwertsteuerliche Pflichten für die Erbringung von Dienstleistungen und für Fernverkäufe von Gegenständen (ABl. L 348 vom 29.12.2017, S. 7) teilnimmt.</w:t>
      </w:r>
    </w:p>
    <w:p>
      <w:r>
        <w:rPr>
          <w:color w:val="555555"/>
          <w:sz w:val="17"/>
        </w:rPr>
        <w:t xml:space="preserve">Zitiervorschlag: § 18 UStG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https://recht.nulegal.eu/gesetze/UStG%201980/18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