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UStG 1980 — Steuerschuldner</w:t>
      </w:r>
    </w:p>
    <w:p>
      <w:r>
        <w:rPr>
          <w:color w:val="555555"/>
          <w:sz w:val="18"/>
        </w:rPr>
        <w:t xml:space="preserve">Umsatzsteuergesetz</w:t>
      </w:r>
    </w:p>
    <w:p>
      <w:r>
        <w:rPr>
          <w:color w:val="555555"/>
          <w:sz w:val="18"/>
        </w:rPr>
        <w:t xml:space="preserve">Stand: 01.01.2026 (konsolidierte Textfassung, kein amtliches Inkrafttretensdatum)</w:t>
      </w:r>
    </w:p>
    <w:p>
      <w:r>
        <w:t xml:space="preserve">(1) Steuerschuldner ist in den Fällen</w:t>
      </w:r>
    </w:p>
    <w:p>
      <w:pPr>
        <w:ind w:left="420"/>
      </w:pPr>
      <w:r>
        <w:t xml:space="preserve">1. des § 1 Abs. 1 Nr. 1 und des § 14c Abs. 1 der Unternehmer;</w:t>
      </w:r>
    </w:p>
    <w:p>
      <w:pPr>
        <w:ind w:left="420"/>
      </w:pPr>
      <w:r>
        <w:t xml:space="preserve">2. des § 1 Abs. 1 Nr. 5 der Erwerber;</w:t>
      </w:r>
    </w:p>
    <w:p>
      <w:pPr>
        <w:ind w:left="420"/>
      </w:pPr>
      <w:r>
        <w:t xml:space="preserve">3. des § 6a Abs. 4 der Abnehmer;</w:t>
      </w:r>
    </w:p>
    <w:p>
      <w:pPr>
        <w:ind w:left="420"/>
      </w:pPr>
      <w:r>
        <w:t xml:space="preserve">4. des § 14c Abs. 2 der Aussteller der Rechnung;</w:t>
      </w:r>
    </w:p>
    <w:p>
      <w:pPr>
        <w:ind w:left="420"/>
      </w:pPr>
      <w:r>
        <w:t xml:space="preserve">5. des § 25b Abs. 2 der letzte Abnehmer;</w:t>
      </w:r>
    </w:p>
    <w:p>
      <w:pPr>
        <w:ind w:left="420"/>
      </w:pPr>
      <w:r>
        <w:t xml:space="preserve">6. (weggefallen)</w:t>
      </w:r>
    </w:p>
    <w:p>
      <w:pPr>
        <w:ind w:left="420"/>
      </w:pPr>
      <w:r>
        <w:t xml:space="preserve">7. des § 18k neben dem Unternehmer der im Gemeinschaftsgebiet ansässige Vertreter, sofern ein solcher vom Unternehmer vertraglich bestellt und dies der Finanzbehörde nach § 18k Absatz 1 Satz 2 angezeigt wurde. Der Vertreter ist gleichzeitig Empfangsbevollmächtigter für den Unternehmer und dadurch ermächtigt, alle Verwaltungsakte und Mitteilungen der Finanzbehörde in Empfang zu nehmen, die mit dem Besteuerungsverfahren nach § 18k und einem außergerichtlichen Rechtsbehelfsverfahren nach dem Siebenten Teil der Abgabenordnung zusammenhängen. Bei der Bekanntgabe an den Vertreter ist darauf hinzuweisen, dass sie auch mit Wirkung für und gegen den Unternehmer erfolgt. Die Empfangsbevollmächtigung des Vertreters kann nur nach Beendigung des Vertragsverhältnisses und mit Wirkung für die Zukunft widerrufen werden. Der Widerruf wird gegenüber der Finanzbehörde erst wirksam, wenn er ihr zugegangen ist.</w:t>
      </w:r>
    </w:p>
    <w:p>
      <w:r>
        <w:t xml:space="preserve">(2) Für die Einfuhrumsatzsteuer gilt § 21 Abs. 2.</w:t>
      </w:r>
    </w:p>
    <w:p>
      <w:r>
        <w:rPr>
          <w:color w:val="555555"/>
          <w:sz w:val="17"/>
        </w:rPr>
        <w:t xml:space="preserve">Zitiervorschlag: § 13a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