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UStG 1980 — Bemessungsgrundlage für Lieferungen, sonstige Leistungen und innergemeinschaftliche Erwerbe</w:t>
      </w:r>
    </w:p>
    <w:p>
      <w:r>
        <w:rPr>
          <w:color w:val="555555"/>
          <w:sz w:val="18"/>
        </w:rPr>
        <w:t xml:space="preserve">Umsatzsteuergesetz</w:t>
      </w:r>
    </w:p>
    <w:p>
      <w:r>
        <w:rPr>
          <w:color w:val="555555"/>
          <w:sz w:val="18"/>
        </w:rPr>
        <w:t xml:space="preserve">Stand: 01.01.2026 (konsolidierte Textfassung, kein amtliches Inkrafttretensdatum)</w:t>
      </w:r>
    </w:p>
    <w:p>
      <w:r>
        <w:t xml:space="preserve">(1) Der Umsatz wird bei Lieferungen und sonstigen Leistungen (§ 1 Abs. 1 Nr. 1 Satz 1) und bei dem innergemeinschaftlichen Erwerb (§ 1 Abs. 1 Nr. 5) nach dem Entgelt bemessen. Entgelt ist alles, was den Wert der Gegenleistung bildet, die der leistende Unternehmer vom Leistungsempfänger oder von einem anderen als dem Leistungsempfänger für die Leistung erhält oder erhalten soll, einschließlich der unmittelbar mit dem Preis dieser Umsätze zusammenhängenden Subventionen, jedoch abzüglich der für diese Leistung gesetzlich geschuldeten Umsatzsteuer. Bei dem innergemeinschaftlichen Erwerb sind Verbrauchsteuern, die vom Erwerber geschuldet oder entrichtet werden, in die Bemessungsgrundlage einzubeziehen. Die Beträge, die der Unternehmer im Namen und für Rechnung eines anderen vereinnahmt und verausgabt (durchlaufende Posten), gehören nicht zum Entgelt. Liegen bei der Entgegennahme eines Mehrzweck-Gutscheins (§ 3 Absatz 15) keine Angaben über die Höhe der für den Gutschein erhaltenen Gegenleistung nach Satz 2 vor, so wird das Entgelt nach dem Gutscheinwert selbst oder nach dem in den damit zusammenhängenden Unterlagen angegebenen Geldwert bemessen, abzüglich der Umsatzsteuer, die danach auf die gelieferten Gegenstände oder die erbrachten Dienstleistungen entfällt.</w:t>
      </w:r>
    </w:p>
    <w:p>
      <w:r>
        <w:t xml:space="preserve">(2) Werden Rechte übertragen, die mit dem Besitz eines Pfandscheins verbunden sind, so gilt als vereinbartes Entgelt der Preis des Pfandscheins zuzüglich der Pfandsumme. Beim Tausch (§ 3 Abs. 12 Satz 1), bei tauschähnlichen Umsätzen (§ 3 Abs. 12 Satz 2) und bei Hingabe an Zahlungs statt gilt der Wert jedes Umsatzes als Entgelt für den anderen Umsatz. Die Umsatzsteuer gehört nicht zum Entgelt.</w:t>
      </w:r>
    </w:p>
    <w:p>
      <w:r>
        <w:t xml:space="preserve">(3) (weggefallen)</w:t>
      </w:r>
    </w:p>
    <w:p>
      <w:r>
        <w:t xml:space="preserve">(4) Der Umsatz wird bemessen</w:t>
      </w:r>
    </w:p>
    <w:p>
      <w:pPr>
        <w:ind w:left="420"/>
      </w:pPr>
      <w:r>
        <w:t xml:space="preserve">1. bei dem Verbringen eines Gegenstands im Sinne des § 1a Abs. 2 und des § 3 Abs. 1a sowie bei Lieferungen im Sinne des § 3 Abs. 1b nach dem Einkaufspreis zuzüglich der Nebenkosten für den Gegenstand oder für einen gleichartigen Gegenstand oder mangels eines Einkaufspreises nach den Selbstkosten, jeweils zum Zeitpunkt des Umsatzes;</w:t>
      </w:r>
    </w:p>
    <w:p>
      <w:pPr>
        <w:ind w:left="420"/>
      </w:pPr>
      <w:r>
        <w:t xml:space="preserve">2. bei sonstigen Leistungen im Sinne des § 3 Abs. 9a Nr. 1 nach den bei der Ausführung dieser Umsätze entstandenen Ausgaben, soweit sie zum vollen oder teilweisen Vorsteuerabzug berechtigt haben. Zu diesen Ausgaben gehören auch die Anschaffungs- oder Herstellungskosten eines Wirtschaftsguts, soweit das Wirtschaftsgut dem Unternehmen zugeordnet ist und für die Erbringung der sonstigen Leistung verwendet wird. Betragen die Anschaffungs- oder Herstellungskosten mindestens 500 Euro, sind sie gleichmäßig auf einen Zeitraum zu verteilen, der dem für das Wirtschaftsgut maßgeblichen Berichtigungszeitraum nach § 15a entspricht;</w:t>
      </w:r>
    </w:p>
    <w:p>
      <w:pPr>
        <w:ind w:left="420"/>
      </w:pPr>
      <w:r>
        <w:t xml:space="preserve">3. bei sonstigen Leistungen im Sinne des § 3 Abs. 9a Nr. 2 nach den bei der Ausführung dieser Umsätze entstandenen Ausgaben. Satz 1 Nr. 2 Sätze 2 und 3 gilt entsprechend.</w:t>
      </w:r>
    </w:p>
    <w:p>
      <w:r>
        <w:t xml:space="preserve">Die Umsatzsteuer gehört nicht zur Bemessungsgrundlage.</w:t>
      </w:r>
    </w:p>
    <w:p>
      <w:r>
        <w:t xml:space="preserve">(5) Absatz 4 gilt entsprechend für</w:t>
      </w:r>
    </w:p>
    <w:p>
      <w:pPr>
        <w:ind w:left="420"/>
      </w:pPr>
      <w:r>
        <w:t xml:space="preserve">1. Lieferungen und sonstige Leistungen, die Körperschaften und Personenvereinigungen im Sinne des § 1 Abs. 1 Nr. 1 bis 5 des Körperschaftsteuergesetzes, nichtrechtsfähige Personenvereinigungen sowie Gemeinschaften im Rahmen ihres Unternehmens an ihre Anteilseigner, Gesellschafter, Mitglieder, Teilhaber oder diesen nahestehende Personen sowie Einzelunternehmer an ihnen nahestehende Personen ausführen,</w:t>
      </w:r>
    </w:p>
    <w:p>
      <w:pPr>
        <w:ind w:left="420"/>
      </w:pPr>
      <w:r>
        <w:t xml:space="preserve">2. Lieferungen und sonstige Leistungen, die ein Unternehmer an sein Personal oder dessen Angehörige auf Grund des Dienstverhältnisses ausführt,</w:t>
      </w:r>
    </w:p>
    <w:p>
      <w:r>
        <w:t xml:space="preserve">wenn die Bemessungsgrundlage nach Absatz 4 das Entgelt nach Absatz 1 übersteigt; der Umsatz ist jedoch höchstens nach dem marktüblichen Entgelt zu bemessen. Übersteigt das Entgelt nach Absatz 1 das marktübliche Entgelt, gilt Absatz 1.</w:t>
      </w:r>
    </w:p>
    <w:p>
      <w:r>
        <w:t xml:space="preserve">(6) Bei Beförderungen von Personen im Gelegenheitsverkehr mit Kraftomnibussen, die nicht im Inland zugelassen sind, tritt in den Fällen der Beförderungseinzelbesteuerung (§ 16 Abs. 5) an die Stelle des vereinbarten Entgelts ein Durchschnittsbeförderungsentgelt. Das Durchschnittsbeförderungsentgelt ist nach der Zahl der beförderten Personen und der Zahl der Kilometer der Beförderungsstrecke im Inland (Personenkilometer) zu berechnen. Das Bundesministerium der Finanzen kann mit Zustimmung des Bundesrates durch Rechtsverordnung das Durchschnittsbeförderungsentgelt je Personenkilometer festsetzen. Das Durchschnittsbeförderungsentgelt muss zu einer Steuer führen, die nicht wesentlich von dem Betrag abweicht, der sich nach diesem Gesetz ohne Anwendung des Durchschnittsbeförderungsentgelts ergeben würde.</w:t>
      </w:r>
    </w:p>
    <w:p>
      <w:r>
        <w:rPr>
          <w:color w:val="555555"/>
          <w:sz w:val="17"/>
        </w:rPr>
        <w:t xml:space="preserve">Zitiervorschlag: § 10 UStG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https://recht.nulegal.eu/gesetze/UStG%201980/10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