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UStErstVO</w:t>
      </w:r>
    </w:p>
    <w:p>
      <w:r>
        <w:rPr>
          <w:color w:val="555555"/>
          <w:sz w:val="18"/>
        </w:rPr>
        <w:t xml:space="preserve">Umsatzsteuererstattungsverordnung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 und 2 gelten nicht für den Erwerb von Lebensmitteln und Tabakerzeugnissen sowie die Abgabe von Speisen und Getränken zum Verzehr an Ort und Stelle.</w:t>
      </w:r>
    </w:p>
    <w:p>
      <w:r>
        <w:t xml:space="preserve">(2) Wird ein Gegenstand während seiner gewöhnlichen Nutzungsdauer nicht oder nur zeitweise zu Zwecken im Sinne der §§ 1 und 2 genutzt, ist die Erstattung zu versagen oder der Erstattungsbetrag angemessen zu kürzen.</w:t>
      </w:r>
    </w:p>
    <w:p>
      <w:r>
        <w:rPr>
          <w:color w:val="555555"/>
          <w:sz w:val="17"/>
        </w:rPr>
        <w:t xml:space="preserve">Zitiervorschlag: § 3 UStErstVO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https://recht.nulegal.eu/gesetze/UStErstVO/3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