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UStErstVO</w:t>
      </w:r>
    </w:p>
    <w:p>
      <w:r>
        <w:rPr>
          <w:color w:val="555555"/>
          <w:sz w:val="18"/>
        </w:rPr>
        <w:t xml:space="preserve">Umsatzsteuererstattungsverordnung</w:t>
      </w:r>
    </w:p>
    <w:p>
      <w:r>
        <w:rPr>
          <w:color w:val="555555"/>
          <w:sz w:val="18"/>
        </w:rPr>
        <w:t xml:space="preserve">Stand: 10.06.2019 (konsolidierte Textfassung, kein amtliches Inkrafttretensdatum)</w:t>
      </w:r>
    </w:p>
    <w:p>
      <w:r>
        <w:t xml:space="preserve">(1) Hat eine im Geltungsbereich dieser Verordnung errichtete ausländische ständige diplomatische Mission oder ausländische ständige berufskonsularische Vertretung für ihren amtlichen Gebrauch Gegenstände erworben oder sonstige Leistungen in Anspruch genommen, wird ihr auf Antrag aus dem Aufkommen der Umsatzsteuer</w:t>
      </w:r>
    </w:p>
    <w:p>
      <w:pPr>
        <w:ind w:left="420"/>
      </w:pPr>
      <w:r>
        <w:t xml:space="preserve">1. die von dem Unternehmer nach § 14 des Umsatzsteuergesetzes in Rechnung gestellte und von ihr bezahlte Umsatzsteuer erstattet, wenn der Rechnungsbetrag einschließlich der Steuer 100 Euro übersteigt;</w:t>
      </w:r>
    </w:p>
    <w:p>
      <w:pPr>
        <w:ind w:left="420"/>
      </w:pPr>
      <w:r>
        <w:t xml:space="preserve">2. die von ihr nach § 13b Absatz 5 des Umsatzsteuergesetzes geschuldete und von ihr entrichtete Umsatzsteuer erstattet, wenn der Rechnungsbetrag zuzüglich der Steuer 100 Euro übersteigt.</w:t>
      </w:r>
    </w:p>
    <w:p>
      <w:r>
        <w:t xml:space="preserve">(2) Die Vergünstigung nach Absatz 1 ist auf der Grundlage besonderer Vereinbarung mit dem Entsendestaat nach Maßgabe der Gegenseitigkeit zu gewähren.</w:t>
      </w:r>
    </w:p>
    <w:p>
      <w:r>
        <w:rPr>
          <w:color w:val="555555"/>
          <w:sz w:val="17"/>
        </w:rPr>
        <w:t xml:space="preserve">Zitiervorschlag: § 1 UStErstVO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https://recht.nulegal.eu/gesetze/UStErstVO/1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