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UStDV 1980 — Ausfuhrnachweis bei Ausfuhrlieferungen in Beförderungsfällen</w:t>
      </w:r>
    </w:p>
    <w:p>
      <w:r>
        <w:rPr>
          <w:color w:val="555555"/>
          <w:sz w:val="18"/>
        </w:rPr>
        <w:t xml:space="preserve">Umsatzsteuer-Durchführungsverordnung</w:t>
      </w:r>
    </w:p>
    <w:p>
      <w:r>
        <w:rPr>
          <w:color w:val="555555"/>
          <w:sz w:val="18"/>
        </w:rPr>
        <w:t xml:space="preserve">Stand: 01.09.2023 (konsolidierte Textfassung, kein amtliches Inkrafttretensdatum)</w:t>
      </w:r>
    </w:p>
    <w:p>
      <w:r>
        <w:t xml:space="preserve">(1) Hat der Unternehmer oder der Abnehmer den Gegenstand der Lieferung in das Drittlandsgebiet befördert, hat der Unternehmer den Ausfuhrnachweis durch folgenden Beleg zu führen:</w:t>
      </w:r>
    </w:p>
    <w:p>
      <w:pPr>
        <w:ind w:left="420"/>
      </w:pPr>
      <w:r>
        <w:t xml:space="preserve">1. bei Ausfuhranmeldung im elektronischen Ausfuhrverfahren nach Artikel 326 der Durchführungsverordnung zum Zollkodex der Union mit der durch die zuständige Ausfuhrzollstelle auf elektronischem Weg übermittelten Bestätigung, dass der Gegenstand ausgeführt wurde (Ausgangsvermerk);</w:t>
      </w:r>
    </w:p>
    <w:p>
      <w:pPr>
        <w:ind w:left="420"/>
      </w:pPr>
      <w:r>
        <w:t xml:space="preserve">2. bei allen anderen Ausfuhranmeldungen durch einen Beleg in Papierform oder einen elektronisch zur Verfügung gestellten Beleg, der folgende Angaben zu enthalten hat:</w:t>
      </w:r>
    </w:p>
    <w:p>
      <w:pPr>
        <w:ind w:left="780"/>
      </w:pPr>
      <w:r>
        <w:t xml:space="preserve">a) den Namen und die Anschrift des liefernden Unternehmers,</w:t>
      </w:r>
    </w:p>
    <w:p>
      <w:pPr>
        <w:ind w:left="780"/>
      </w:pPr>
      <w:r>
        <w:t xml:space="preserve">b) die Menge des ausgeführten Gegenstands und die handelsübliche Bezeichnung,</w:t>
      </w:r>
    </w:p>
    <w:p>
      <w:pPr>
        <w:ind w:left="780"/>
      </w:pPr>
      <w:r>
        <w:t xml:space="preserve">c) den Ort und den Tag der Ausfuhr sowie</w:t>
      </w:r>
    </w:p>
    <w:p>
      <w:pPr>
        <w:ind w:left="780"/>
      </w:pPr>
      <w:r>
        <w:t xml:space="preserve">d) eine Ausfuhrbestätigung der Grenzzollstelle eines Mitgliedstaates, die den Ausgang des Gegenstands aus dem Gemeinschaftsgebiet überwacht.</w:t>
      </w:r>
    </w:p>
    <w:p>
      <w:r>
        <w:t xml:space="preserve">Hat der Unternehmer statt des Ausgangsvermerks eine von der Ausfuhrzollstelle auf elektronischem Weg übermittelte alternative Bestätigung, dass der Gegenstand ausgeführt wurde (Alternativ-Ausgangsvermerk), gilt diese als Ausfuhrnachweis.</w:t>
      </w:r>
    </w:p>
    <w:p>
      <w:r>
        <w:t xml:space="preserve">(2) Bei der Ausfuhr von Fahrzeugen im Sinne des § 1b Absatz 2 Satz 1 Nummer 1 des Gesetzes, die zum bestimmungsmäßigen Gebrauch im Straßenverkehr einer Zulassung bedürfen, muss</w:t>
      </w:r>
    </w:p>
    <w:p>
      <w:pPr>
        <w:ind w:left="420"/>
      </w:pPr>
      <w:r>
        <w:t xml:space="preserve">1. der Beleg nach Absatz 1 auch die Fahrzeug-Identifikationsnummer im Sinne des § 6 Absatz 6 Nummer 6 der Fahrzeug-Zulassungsverordnung enthalten und</w:t>
      </w:r>
    </w:p>
    <w:p>
      <w:pPr>
        <w:ind w:left="420"/>
      </w:pPr>
      <w:r>
        <w:t xml:space="preserve">2. der Unternehmer zusätzlich über eine Bescheinigung über die Zulassung, die Verzollung oder die Einfuhrbesteuerung im Drittland verfügen.</w:t>
      </w:r>
    </w:p>
    <w:p>
      <w:r>
        <w:t xml:space="preserve">Satz 1 Nummer 2 gilt nicht in den Fällen, in denen das Fahrzeug mit einem Ausfuhrkennzeichen ausgeführt wird, wenn aus dem Beleg nach Satz 1 Nummer 1 die Nummer des Ausfuhrkennzeichens ersichtlich ist, oder in denen das Fahrzeug nicht im Sinne der Fahrzeug-Zulassungsverordnung auf öffentlichen Straßen in Betrieb gesetzt worden ist und nicht auf eigener Achse in das Drittlandsgebiet ausgeführt wird.</w:t>
      </w:r>
    </w:p>
    <w:p>
      <w:r>
        <w:t xml:space="preserve">(3) An die Stelle der Ausfuhrbestätigung nach Absatz 1 Satz 1 Nummer 2 Buchstabe d tritt bei einer Ausfuhr im gemeinsamen Versandverfahren oder im Unionsversandverfahren oder bei einer Ausfuhr mit Carnets TIR, wenn diese Verfahren nicht bei einer Grenzzollstelle beginnen, eine Ausfuhrbestätigung der Abgangsstelle. Diese Ausfuhrbestätigung wird nach Eingang des Beendigungsnachweises für das Versandverfahren erteilt, sofern sich aus ihr die Ausfuhr ergibt.</w:t>
      </w:r>
    </w:p>
    <w:p>
      <w:r>
        <w:t xml:space="preserve">(4) Im Sinne dieser Verordnung gilt als Durchführungsverordnung zum Zollkodex der Union die Durchführungsverordnung (EU) 2015/2447 der Kommission vom 24. November 2015 mit Einzelheiten zur Umsetzung von Bestimmungen der Verordnung (EU) Nr. 952/2013 des Europäischen Parlaments und des Rates zur Festlegung des Zollkodex der Union (ABl. L 343 vom 29.12.2015, S. 558) in der jeweils geltenden Fassung.</w:t>
      </w:r>
    </w:p>
    <w:p>
      <w:r>
        <w:rPr>
          <w:color w:val="555555"/>
          <w:sz w:val="17"/>
        </w:rPr>
        <w:t xml:space="preserve">Zitiervorschlag: § 9 UStDV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https://recht.nulegal.eu/gesetze/UStDV%201980/9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