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62 UStDV 1980 — Berücksichtigung von Vorsteuerbeträgen, Belegnachweis</w:t>
      </w:r>
    </w:p>
    <w:p>
      <w:r>
        <w:rPr>
          <w:color w:val="555555"/>
          <w:sz w:val="18"/>
        </w:rPr>
        <w:t xml:space="preserve">Umsatzsteuer-Durchführungsverordnung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bei den in § 59 genannten Unternehmern die Besteuerung nach § 16 und § 18 Abs. 1 bis 4 des Gesetzes durchzuführen, so sind hierbei die Vorsteuerbeträge nicht zu berücksichtigen, die nach § 59 vergütet worden sind.</w:t>
      </w:r>
    </w:p>
    <w:p>
      <w:r>
        <w:t xml:space="preserve">(2) Die abziehbaren Vorsteuerbeträge sind in den Fällen des Absatzes 1 durch Vorlage der Rechnungen und Einfuhrbelege im Original nachzuweisen.</w:t>
      </w:r>
    </w:p>
    <w:p>
      <w:r>
        <w:rPr>
          <w:color w:val="555555"/>
          <w:sz w:val="17"/>
        </w:rPr>
        <w:t xml:space="preserve">Zitiervorschlag: § 62 UStDV 1980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https://recht.nulegal.eu/gesetze/UStDV%201980/62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