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UStDV 1980 — Vergütungsberechtigte Unternehmer</w:t>
      </w:r>
    </w:p>
    <w:p>
      <w:r>
        <w:rPr>
          <w:color w:val="555555"/>
          <w:sz w:val="18"/>
        </w:rPr>
        <w:t xml:space="preserve">Umsatzsteuer-Durchführungsverordnung</w:t>
      </w:r>
    </w:p>
    <w:p>
      <w:r>
        <w:rPr>
          <w:color w:val="555555"/>
          <w:sz w:val="18"/>
        </w:rPr>
        <w:t xml:space="preserve">Stand: 01.07.2021 (konsolidierte Textfassung, kein amtliches Inkrafttretensdatum)</w:t>
      </w:r>
    </w:p>
    <w:p>
      <w:r>
        <w:t xml:space="preserve">Die Vergütung der abziehbaren Vorsteuerbeträge (§ 15 des Gesetzes) an im Ausland ansässige Unternehmer ist abweichend von den §§ 16 und 18 Abs. 1 bis 4 des Gesetzes nach den §§ 60 bis 61a durchzuführen, wenn der Unternehmer im Vergütungszeitraum</w:t>
      </w:r>
    </w:p>
    <w:p>
      <w:pPr>
        <w:ind w:left="420"/>
      </w:pPr>
      <w:r>
        <w:t xml:space="preserve">1. im Inland keine Umsätze im Sinne des § 1 Abs. 1 Nr. 1 und 5 des Gesetzes oder nur steuerfreie Umsätze im Sinne des § 4 Nr. 3 des Gesetzes ausgeführt hat,</w:t>
      </w:r>
    </w:p>
    <w:p>
      <w:pPr>
        <w:ind w:left="420"/>
      </w:pPr>
      <w:r>
        <w:t xml:space="preserve">2. nur Umsätze ausgeführt hat, für die der Leistungsempfänger die Steuer schuldet (§ 13b des Gesetzes) oder die der Beförderungseinzelbesteuerung (§ 16 Abs. 5 und § 18 Abs. 5 des Gesetzes) unterlegen haben,</w:t>
      </w:r>
    </w:p>
    <w:p>
      <w:pPr>
        <w:ind w:left="420"/>
      </w:pPr>
      <w:r>
        <w:t xml:space="preserve">3. im Inland nur innergemeinschaftliche Erwerbe und daran anschließende Lieferungen im Sinne des § 25b Abs. 2 des Gesetzes ausgeführt hat</w:t>
      </w:r>
    </w:p>
    <w:p>
      <w:pPr>
        <w:ind w:left="420"/>
      </w:pPr>
      <w:r>
        <w:t xml:space="preserve">4. im Inland als Steuerschuldner vor dem 1. Juli 2021 nur Umsätze im Sinne des § 3a Absatz 5 des Gesetzes erbracht und von dem Wahlrecht nach § 18 Absatz 4c des Gesetzes Gebrauch gemacht hat oder diese Umsätze in einem anderen Mitgliedstaat erklärt sowie die darauf entfallende Steuer entrichtet hat oder nach dem 30. Juni 2021 nur sonstige Leistungen an Empfänger nach § 3a Absatz 5 Satz 1 des Gesetzes erbracht und von dem Wahlrecht nach § 18i des Gesetzes Gebrauch gemacht hat,</w:t>
      </w:r>
    </w:p>
    <w:p>
      <w:pPr>
        <w:ind w:left="420"/>
      </w:pPr>
      <w:r>
        <w:t xml:space="preserve">5. im Inland als Steuerschuldner vor dem 1. Juli 2021 nur Umsätze im Sinne des § 3a Absatz 5 des Gesetzes erbracht und von dem Wahlrecht nach § 18 Absatz 4e des Gesetzes Gebrauch gemacht hat oder nach dem 30. Juni 2021 nur Lieferungen nach § 3 Absatz 3a Satz 1 des Gesetzes innerhalb eines Mitgliedstaates, innergemeinschaftliche Fernverkäufe nach § 3c Absatz 1 Satz 2 und 3 des Gesetzes sowie sonstige Leistungen an Empfänger nach § 3a Absatz 5 Satz 1 des Gesetzes erbracht und von dem Wahlrecht nach § 18j des Gesetzes Gebrauch gemacht hat oder</w:t>
      </w:r>
    </w:p>
    <w:p>
      <w:pPr>
        <w:ind w:left="420"/>
      </w:pPr>
      <w:r>
        <w:t xml:space="preserve">6. im Inland als Steuerschuldner nur Fernverkäufe nach § 3 Absatz 3a Satz 2 und § 3c Absatz 2 und 3 des Gesetzes erbracht und von dem Wahlrecht nach § 18k des Gesetzes Gebrauch gemacht hat.</w:t>
      </w:r>
    </w:p>
    <w:p>
      <w:r>
        <w:t xml:space="preserve">Ein im Ausland ansässiger Unternehmer im Sinne des Satzes 1 ist ein Unternehmer, der im Inland, auf der Insel Helgoland und in einem der in § 1 Absatz 3 des Gesetzes bezeichneten Gebiete weder einen Wohnsitz, seinen gewöhnlichen Aufenthalt, seinen Sitz, seine Geschäftsleitung noch eine Betriebsstätte hat, von der aus im Inland steuerbare Umsätze ausgeführt werden; ein im Ausland ansässiger Unternehmer ist auch ein Unternehmer, der ausschließlich einen Wohnsitz oder seinen gewöhnlichen Aufenthalt im Inland, aber im Ausland seinen Sitz, seine Geschäftsleitung oder eine Betriebsstätte hat, von der aus Umsätze ausgeführt werden. Maßgebend für die Ansässigkeit ist der jeweilige Vergütungszeitraum im Sinne des § 60, für den der Unternehmer eine Vergütung beantragt.</w:t>
      </w:r>
    </w:p>
    <w:p>
      <w:r>
        <w:rPr>
          <w:color w:val="555555"/>
          <w:sz w:val="17"/>
        </w:rPr>
        <w:t xml:space="preserve">Zitiervorschlag: § 59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