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UStDV 1980 — Verfahren</w:t>
      </w:r>
    </w:p>
    <w:p>
      <w:r>
        <w:rPr>
          <w:color w:val="555555"/>
          <w:sz w:val="18"/>
        </w:rPr>
        <w:t xml:space="preserve">Umsatzsteuer-Durchführungsverordnung</w:t>
      </w:r>
    </w:p>
    <w:p>
      <w:r>
        <w:rPr>
          <w:color w:val="555555"/>
          <w:sz w:val="18"/>
        </w:rPr>
        <w:t xml:space="preserve">Stand: 01.01.2025 (konsolidierte Textfassung, kein amtliches Inkrafttretensdatum)</w:t>
      </w:r>
    </w:p>
    <w:p>
      <w:r>
        <w:t xml:space="preserve">(1) Der Unternehmer hat die Fristverlängerung für die Übermittlung der Voranmeldungen bis zu dem Zeitpunkt zu beantragen, an dem die Voranmeldung, für die die Fristverlängerung erstmals gelten soll, nach § 18 Abs. 1, 2 und 2a des Gesetzes zu übermitteln ist. Der Antrag ist nach amtlich vorgeschriebenem Datensatz über die amtlich bestimmte Schnittstelle zu übermitteln. Auf Antrag kann das Finanzamt zur Vermeidung von unbilligen Härten auf eine elektronische Übermittlung verzichten; in diesem Fall hat der Unternehmer einen Antrag nach amtlich vorgeschriebenem Vordruck zu stellen. In dem Antrag hat der Unternehmer, der die Voranmeldungen monatlich zu übermitteln hat, die Sondervorauszahlung (§ 47) selbst zu berechnen und anzumelden. Gleichzeitig hat er die angemeldete Sondervorauszahlung zu entrichten.</w:t>
      </w:r>
    </w:p>
    <w:p>
      <w:r>
        <w:t xml:space="preserve">(2) Während der Geltungsdauer der Fristverlängerung hat der Unternehmer, der die Voranmeldungen monatlich zu übermitteln hat, die Sondervorauszahlung für das jeweilige Kalenderjahr bis zum gesetzlichen Zeitpunkt der Übermittlung der ersten Voranmeldung zu berechnen, anzumelden und zu entrichten. Absatz 1 Satz 2 und 3 gilt entsprechend.</w:t>
      </w:r>
    </w:p>
    <w:p>
      <w:r>
        <w:t xml:space="preserve">(3) Das Finanzamt kann die Sondervorauszahlung festsetzen, wenn sie vom Unternehmer nicht oder nicht richtig berechnet wurde oder wenn die Anmeldung zu einem offensichtlich unzutreffenden Ergebnis führt.</w:t>
      </w:r>
    </w:p>
    <w:p>
      <w:r>
        <w:t xml:space="preserve">(4) Die festgesetzte Sondervorauszahlung ist bei der Festsetzung der Vorauszahlung für den letzten Voranmeldungszeitraum des Besteuerungszeitraums zu berücksichtigen, für den die Fristverlängerung gilt. Ein danach verbleibender Erstattungsanspruch ist mit Ansprüchen aus dem Steuerschuldverhältnis aufzurechnen (§ 226 der Abgabenordnung), im Übrigen zu erstatten.</w:t>
      </w:r>
    </w:p>
    <w:p>
      <w:r>
        <w:rPr>
          <w:color w:val="555555"/>
          <w:sz w:val="17"/>
        </w:rPr>
        <w:t xml:space="preserve">Zitiervorschlag: § 48 UStDV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https://recht.nulegal.eu/gesetze/UStDV%201980/48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