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UStDV 1980 — Vorsteuerabzug bei unfreien Versendungen</w:t>
      </w:r>
    </w:p>
    <w:p>
      <w:r>
        <w:rPr>
          <w:color w:val="555555"/>
          <w:sz w:val="18"/>
        </w:rPr>
        <w:t xml:space="preserve">Umsatzsteuer-Durchführungsverordnung</w:t>
      </w:r>
    </w:p>
    <w:p>
      <w:r>
        <w:rPr>
          <w:color w:val="555555"/>
          <w:sz w:val="18"/>
        </w:rPr>
        <w:t xml:space="preserve">Stand: 10.01.2026 (konsolidierte Textfassung, kein amtliches Inkrafttretensdatum)</w:t>
      </w:r>
    </w:p>
    <w:p>
      <w:r>
        <w:t xml:space="preserve">(1) Lässt ein Absender einen Gegenstand durch einen Frachtführer oder Verfrachter unfrei zu einem Dritten befördern oder eine solche Beförderung durch einen Spediteur unfrei besorgen, so ist für den Vorsteuerabzug der Empfänger der Frachtsendung als Auftraggeber dieser Leistungen anzusehen. Der Absender darf die Steuer für diese Leistungen nicht als Vorsteuer abziehen. Der Empfänger der Frachtsendung kann diese Steuer unter folgenden Voraussetzungen abziehen:</w:t>
      </w:r>
    </w:p>
    <w:p>
      <w:pPr>
        <w:ind w:left="420"/>
      </w:pPr>
      <w:r>
        <w:t xml:space="preserve">1. Er muss im Übrigen hinsichtlich der Beförderung oder ihrer Besorgung zum Abzug der Steuer berechtigt sein (§ 15 Abs. 1 Satz 1 Nr. 1 des Gesetzes).</w:t>
      </w:r>
    </w:p>
    <w:p>
      <w:pPr>
        <w:ind w:left="420"/>
      </w:pPr>
      <w:r>
        <w:t xml:space="preserve">2. Er muss die Entrichtung des Entgelts zuzüglich der Steuer für die Beförderung oder für ihre Besorgung übernommen haben.</w:t>
      </w:r>
    </w:p>
    <w:p>
      <w:pPr>
        <w:ind w:left="420"/>
      </w:pPr>
      <w:r>
        <w:t xml:space="preserve">3. Die in Nummer 2 bezeichnete Voraussetzung muss aus der Rechnung über die Beförderung oder ihre Besorgung zu ersehen sein. Die Rechnung ist vom Empfänger der Frachtsendung aufzubewahren.</w:t>
      </w:r>
    </w:p>
    <w:p>
      <w:r>
        <w:t xml:space="preserve">(2) Die Vorschriften des § 22 des Gesetzes sowie des § 35 Abs. 1 und § 63 dieser Verordnung gelten für den Empfänger der Frachtsendung entsprechend.</w:t>
      </w:r>
    </w:p>
    <w:p>
      <w:r>
        <w:rPr>
          <w:color w:val="555555"/>
          <w:sz w:val="17"/>
        </w:rPr>
        <w:t xml:space="preserve">Zitiervorschlag: § 40 UStDV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https://recht.nulegal.eu/gesetze/UStDV%201980/40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