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UStDV 1980 — Anschlussstrecken im Schienenbahnverkehr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grenzüberschreitenden Personenbeförderungen mit Schienenbahnen sind anzusehen:</w:t>
      </w:r>
    </w:p>
    <w:p>
      <w:pPr>
        <w:ind w:left="420"/>
      </w:pPr>
      <w:r>
        <w:t xml:space="preserve">1. als inländische Beförderungsstrecken die Anschlussstrecken im Ausland, die von Eisenbahnverwaltungen mit Sitz im Inland betrieben werden, sowie Schienenbahnstrecken in den in § 1 Abs. 3 des Gesetzes bezeichneten Gebieten;</w:t>
      </w:r>
    </w:p>
    <w:p>
      <w:pPr>
        <w:ind w:left="420"/>
      </w:pPr>
      <w:r>
        <w:t xml:space="preserve">2. als ausländische Beförderungsstrecken die inländischen Anschlussstrecken, die von Eisenbahnverwaltungen mit Sitz im Ausland betrieben werden.</w:t>
      </w:r>
    </w:p>
    <w:p>
      <w:r>
        <w:rPr>
          <w:color w:val="555555"/>
          <w:sz w:val="17"/>
        </w:rPr>
        <w:t xml:space="preserve">Zitiervorschlag: § 4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