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UStDV 1980 — Fahrausweise als Rechnungen</w:t>
      </w:r>
    </w:p>
    <w:p>
      <w:r>
        <w:rPr>
          <w:color w:val="555555"/>
          <w:sz w:val="18"/>
        </w:rPr>
        <w:t xml:space="preserve">Umsatzsteuer-Durchführungsverordnung</w:t>
      </w:r>
    </w:p>
    <w:p>
      <w:r>
        <w:rPr>
          <w:color w:val="555555"/>
          <w:sz w:val="18"/>
        </w:rPr>
        <w:t xml:space="preserve">Stand: 01.01.2025 (konsolidierte Textfassung, kein amtliches Inkrafttretensdatum)</w:t>
      </w:r>
    </w:p>
    <w:p>
      <w:r>
        <w:t xml:space="preserve">(1) Fahrausweise, die für die Beförderung von Personen ausgegeben werden, gelten als Rechnungen im Sinne des § 14 des Gesetzes, wenn sie mindestens die folgenden Angaben enthalten:</w:t>
      </w:r>
    </w:p>
    <w:p>
      <w:pPr>
        <w:ind w:left="420"/>
      </w:pPr>
      <w:r>
        <w:t xml:space="preserve">1. den vollständigen Namen und die vollständige Anschrift des Unternehmers, der die Beförderungsleistung ausführt. § 31 Abs. 2 ist entsprechend anzuwenden</w:t>
      </w:r>
    </w:p>
    <w:p>
      <w:pPr>
        <w:ind w:left="420"/>
      </w:pPr>
      <w:r>
        <w:t xml:space="preserve">2. das Ausstellungsdatum</w:t>
      </w:r>
    </w:p>
    <w:p>
      <w:pPr>
        <w:ind w:left="420"/>
      </w:pPr>
      <w:r>
        <w:t xml:space="preserve">3. das Entgelt und den darauf entfallenden Steuerbetrag in einer Summe</w:t>
      </w:r>
    </w:p>
    <w:p>
      <w:pPr>
        <w:ind w:left="420"/>
      </w:pPr>
      <w:r>
        <w:t xml:space="preserve">4. den anzuwendenden Steuersatz, wenn die Beförderungsleistung nicht dem ermäßigten Steuersatz nach § 12 Abs. 2 Nr. 10 des Gesetzes unterliegt und</w:t>
      </w:r>
    </w:p>
    <w:p>
      <w:pPr>
        <w:ind w:left="420"/>
      </w:pPr>
      <w:r>
        <w:t xml:space="preserve">5. im Fall der Anwendung des § 26 Abs. 3 des Gesetzes einen Hinweis auf die grenzüberschreitende Beförderung von Personen im Luftverkehr.</w:t>
      </w:r>
    </w:p>
    <w:p>
      <w:r>
        <w:t xml:space="preserve">Eine Rechnung nach Satz 1 kann abweichend von § 14 Absatz 2 Satz 2 des Gesetzes immer als sonstige Rechnung im Sinne von § 14 Absatz 1 Satz 4 des Gesetzes übermittelt werden.</w:t>
      </w:r>
    </w:p>
    <w:p>
      <w:r>
        <w:t xml:space="preserve">(2) Fahrausweise für eine grenzüberschreitende Beförderung im Personenverkehr und im internationalen Eisenbahn-Personenverkehr gelten nur dann als Rechnung im Sinne des § 14 des Gesetzes, wenn eine Bescheinigung des Beförderungsunternehmers oder seines Beauftragten darüber vorliegt, welcher Anteil des Beförderungspreises auf die Strecke im Inland entfällt. In der Bescheinigung ist der Steuersatz anzugeben, der auf den auf das Inland entfallenden Teil der Beförderungsleistung anzuwenden ist.</w:t>
      </w:r>
    </w:p>
    <w:p>
      <w:r>
        <w:t xml:space="preserve">(3) Die Absätze 1 und 2 gelten für Belege im Reisegepäckverkehr entsprechend.</w:t>
      </w:r>
    </w:p>
    <w:p>
      <w:r>
        <w:rPr>
          <w:color w:val="555555"/>
          <w:sz w:val="17"/>
        </w:rPr>
        <w:t xml:space="preserve">Zitiervorschlag: § 34 UStDV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https://recht.nulegal.eu/gesetze/UStDV%201980/34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