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UStDV 1980 — Angaben in der Rechnung</w:t>
      </w:r>
    </w:p>
    <w:p>
      <w:r>
        <w:rPr>
          <w:color w:val="555555"/>
          <w:sz w:val="18"/>
        </w:rPr>
        <w:t xml:space="preserve">Umsatzsteuer-Durchführungsverordnung</w:t>
      </w:r>
    </w:p>
    <w:p>
      <w:r>
        <w:rPr>
          <w:color w:val="555555"/>
          <w:sz w:val="18"/>
        </w:rPr>
        <w:t xml:space="preserve">Stand: 10.06.2019 (konsolidierte Textfassung, kein amtliches Inkrafttretensdatum)</w:t>
      </w:r>
    </w:p>
    <w:p>
      <w:r>
        <w:t xml:space="preserve">(1) Eine Rechnung kann aus mehreren Dokumenten bestehen, aus denen sich die nach § 14 Abs. 4 des Gesetzes geforderten Angaben insgesamt ergeben. In einem dieser Dokumente sind das Entgelt und der darauf entfallende Steuerbetrag jeweils zusammengefasst anzugeben und alle anderen Dokumente zu bezeichnen, aus denen sich die übrigen Angaben nach § 14 Abs. 4 des Gesetzes ergeben. Die Angaben müssen leicht und eindeutig nachprüfbar sein.</w:t>
      </w:r>
    </w:p>
    <w:p>
      <w:r>
        <w:t xml:space="preserve">(2) Den Anforderungen des § 14 Abs. 4 Satz 1 Nr. 1 des Gesetzes ist genügt, wenn sich auf Grund der in die Rechnung aufgenommenen Bezeichnungen der Name und die Anschrift sowohl des leistenden Unternehmers als auch des Leistungsempfängers eindeutig feststellen lassen.</w:t>
      </w:r>
    </w:p>
    <w:p>
      <w:r>
        <w:t xml:space="preserve">(3) Für die in § 14 Abs. 4 Satz 1 Nr. 1 und 5 des Gesetzes vorgeschriebenen Angaben können Abkürzungen, Buchstaben, Zahlen oder Symbole verwendet werden, wenn ihre Bedeutung in der Rechnung oder in anderen Unterlagen eindeutig festgelegt ist. Die erforderlichen anderen Unterlagen müssen sowohl beim Aussteller als auch beim Empfänger der Rechnung vorhanden sein.</w:t>
      </w:r>
    </w:p>
    <w:p>
      <w:r>
        <w:t xml:space="preserve">(4) Als Zeitpunkt der Lieferung oder sonstigen Leistung (§ 14 Abs. 4 Satz 1 Nr. 6 des Gesetzes) kann der Kalendermonat angegeben werden, in dem die Leistung ausgeführt wird.</w:t>
      </w:r>
    </w:p>
    <w:p>
      <w:r>
        <w:t xml:space="preserve">(5) Eine Rechnung kann berichtigt werden, wenn</w:t>
      </w:r>
    </w:p>
    <w:p>
      <w:pPr>
        <w:ind w:left="420"/>
      </w:pPr>
      <w:r>
        <w:t xml:space="preserve">a) sie nicht alle Angaben nach § 14 Abs. 4 oder § 14a des Gesetzes enthält oder</w:t>
      </w:r>
    </w:p>
    <w:p>
      <w:pPr>
        <w:ind w:left="420"/>
      </w:pPr>
      <w:r>
        <w:t xml:space="preserve">b) Angaben in der Rechnung unzutreffend sind.</w:t>
      </w:r>
    </w:p>
    <w:p>
      <w:r>
        <w:t xml:space="preserve">Es müssen nur die fehlenden oder unzutreffenden Angaben durch ein Dokument, das spezifisch und eindeutig auf die Rechnung bezogen ist, übermittelt werden. Es gelten die gleichen Anforderungen an Form und Inhalt wie in § 14 des Gesetzes.</w:t>
      </w:r>
    </w:p>
    <w:p>
      <w:r>
        <w:rPr>
          <w:color w:val="555555"/>
          <w:sz w:val="17"/>
        </w:rPr>
        <w:t xml:space="preserve">Zitiervorschlag: § 31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