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UStDV 1980 — Verbindungsstrecken im Inland</w:t>
      </w:r>
    </w:p>
    <w:p>
      <w:r>
        <w:rPr>
          <w:color w:val="555555"/>
          <w:sz w:val="18"/>
        </w:rPr>
        <w:t xml:space="preserve">Umsatzsteuer-Durchführungsverordnung</w:t>
      </w:r>
    </w:p>
    <w:p>
      <w:r>
        <w:rPr>
          <w:color w:val="555555"/>
          <w:sz w:val="18"/>
        </w:rPr>
        <w:t xml:space="preserve">Stand: 10.06.2019 (konsolidierte Textfassung, kein amtliches Inkrafttretensdatum)</w:t>
      </w:r>
    </w:p>
    <w:p>
      <w:r>
        <w:t xml:space="preserve">Bei grenzüberschreitenden Beförderungen ist die Verbindungsstrecke zwischen zwei Orten im Ausland, die über das Inland führt, als ausländische Beförderungsstrecke anzusehen, wenn diese Verbindungsstrecke den nächsten oder verkehrstechnisch günstigsten Weg darstellt und der inländische Streckenanteil nicht länger als 30 Kilometer ist. Dies gilt nicht für Personenbeförderungen im Linienverkehr mit Kraftfahrzeugen. § 7 bleibt unberührt.</w:t>
      </w:r>
    </w:p>
    <w:p>
      <w:r>
        <w:rPr>
          <w:color w:val="555555"/>
          <w:sz w:val="17"/>
        </w:rPr>
        <w:t xml:space="preserve">Zitiervorschlag: § 2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