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UStDV 1980 — Ausfuhrnachweis bei Ausfuhrlieferungen in Versendungsfällen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Unternehmer oder der Abnehmer den Gegenstand der Lieferung in das Drittlandsgebiet versendet, hat der Unternehmer den Ausfuhrnachweis durch folgenden Beleg zu führen:</w:t>
      </w:r>
    </w:p>
    <w:p>
      <w:pPr>
        <w:ind w:left="420"/>
      </w:pPr>
      <w:r>
        <w:t xml:space="preserve">1. bei Ausfuhranmeldung im elektronischen Ausfuhrverfahren nach Artikel 326 der Durchführungsverordnung zum Zollkodex der Union mit dem Ausgangsvermerk;</w:t>
      </w:r>
    </w:p>
    <w:p>
      <w:pPr>
        <w:ind w:left="420"/>
      </w:pPr>
      <w:r>
        <w:t xml:space="preserve">2. bei allen anderen Ausfuhranmeldungen:</w:t>
      </w:r>
    </w:p>
    <w:p>
      <w:pPr>
        <w:ind w:left="780"/>
      </w:pPr>
      <w:r>
        <w:t xml:space="preserve">a) mit einem Versendungsbeleg, insbesondere durch handelsrechtlichen Frachtbrief, der vom Auftraggeber des Frachtführers unterzeichnet ist, mit einem Konnossement, mit einem Einlieferungsschein für im Postverkehr beförderte Sendungen oder deren Doppelstücke, oder</w:t>
      </w:r>
    </w:p>
    <w:p>
      <w:pPr>
        <w:ind w:left="780"/>
      </w:pPr>
      <w:r>
        <w:t xml:space="preserve">b) mit einem anderen handelsüblichen Beleg als den Belegen nach Buchstabe a, insbesondere mit einer Bescheinigung des beauftragten Spediteurs; dieser Beleg hat folgende Angaben zu enthalten:</w:t>
      </w:r>
    </w:p>
    <w:p>
      <w:pPr>
        <w:ind w:left="1140"/>
      </w:pPr>
      <w:r>
        <w:t xml:space="preserve">aa) den Namen und die Anschrift des mit der Beförderung beauftragten Unternehmers sowie das Ausstellungsdatum,</w:t>
      </w:r>
    </w:p>
    <w:p>
      <w:pPr>
        <w:ind w:left="1140"/>
      </w:pPr>
      <w:r>
        <w:t xml:space="preserve">bb) den Namen und die Anschrift des liefernden Unternehmers und des Auftraggebers der Versendung,</w:t>
      </w:r>
    </w:p>
    <w:p>
      <w:pPr>
        <w:ind w:left="1140"/>
      </w:pPr>
      <w:r>
        <w:t xml:space="preserve">cc) die Menge und die Art (handelsübliche Bezeichnung) des ausgeführten Gegenstands,</w:t>
      </w:r>
    </w:p>
    <w:p>
      <w:pPr>
        <w:ind w:left="1140"/>
      </w:pPr>
      <w:r>
        <w:t xml:space="preserve">dd) den Ort und den Tag der Ausfuhr oder den Ort und den Tag der Versendung des ausgeführten Gegenstands in das Drittlandsgebiet,</w:t>
      </w:r>
    </w:p>
    <w:p>
      <w:pPr>
        <w:ind w:left="1140"/>
      </w:pPr>
      <w:r>
        <w:t xml:space="preserve">ee) den Empfänger des ausgeführten Gegenstands und den Bestimmungsort im Drittlandsgebiet,</w:t>
      </w:r>
    </w:p>
    <w:p>
      <w:pPr>
        <w:ind w:left="1140"/>
      </w:pPr>
      <w:r>
        <w:t xml:space="preserve">ff) eine Versicherung des mit der Beförderung beauftragten Unternehmers darüber, dass die Angaben im Beleg auf der Grundlage von Geschäftsunterlagen gemacht wurden, die im Gemeinschaftsgebiet nachprüfbar sind, sowie</w:t>
      </w:r>
    </w:p>
    <w:p>
      <w:pPr>
        <w:ind w:left="1140"/>
      </w:pPr>
      <w:r>
        <w:t xml:space="preserve">gg) die Unterschrift des mit der Beförderung beauftragten Unternehmers.</w:t>
      </w:r>
    </w:p>
    <w:p>
      <w:r>
        <w:t xml:space="preserve">Hat der Unternehmer statt des Ausgangsvermerks einen Alternativ-Ausgangsvermerk, gilt dieser als Ausfuhrnachweis.</w:t>
      </w:r>
    </w:p>
    <w:p>
      <w:r>
        <w:t xml:space="preserve">(2) Bei der Ausfuhr von Fahrzeugen im Sinne des § 1b Absatz 2 Satz 1 Nummer 1 des Gesetzes, die zum bestimmungsmäßigen Gebrauch im Straßenverkehr einer Zulassung bedürfen, muss</w:t>
      </w:r>
    </w:p>
    <w:p>
      <w:pPr>
        <w:ind w:left="420"/>
      </w:pPr>
      <w:r>
        <w:t xml:space="preserve">1. der Beleg nach Absatz 1 auch die Fahrzeug-Identifikationsnummer enthalten und</w:t>
      </w:r>
    </w:p>
    <w:p>
      <w:pPr>
        <w:ind w:left="420"/>
      </w:pPr>
      <w:r>
        <w:t xml:space="preserve">2. der Unternehmer zusätzlich über eine Bescheinigung über die Zulassung, die Verzollung oder die Einfuhrbesteuerung im Drittland verfügen.</w:t>
      </w:r>
    </w:p>
    <w:p>
      <w:r>
        <w:t xml:space="preserve">Satz 1 Nummer 2 gilt nicht in den Fällen, in denen das Fahrzeug mit einem Ausfuhrkennzeichen ausgeführt wird, wenn aus dem Beleg nach Satz 1 Nummer 1 die Nummer des Ausfuhrkennzeichens ersichtlich ist, oder in denen das Fahrzeug nicht im Sinne der Fahrzeug-Zulassungsverordnung auf öffentlichen Straßen in Betrieb gesetzt worden ist und nicht auf eigener Achse in das Drittlandsgebiet ausgeführt wird.</w:t>
      </w:r>
    </w:p>
    <w:p>
      <w:r>
        <w:t xml:space="preserve">(3) Ist eine Ausfuhr elektronisch angemeldet worden und ist es dem Unternehmer nicht möglich oder nicht zumutbar, den Ausfuhrnachweis nach Absatz 1 Satz 1 Nummer 1 zu führen, kann dieser die Ausfuhr mit den in Absatz 1 Satz 1 Nummer 2 genannten Belegen nachweisen. In den Fällen nach Satz 1 muss der Beleg zusätzlich zu den Angaben nach Absatz 1 Satz 1 Nummer 2 die Versendungsbezugsnummer der Ausfuhranmeldung nach Artikel 226 der Durchführungsverordnung zum Zollkodex der Union (Master Reference Number – MRN) enthalten.</w:t>
      </w:r>
    </w:p>
    <w:p>
      <w:r>
        <w:t xml:space="preserve">(4) Ist es dem Unternehmer nicht möglich oder nicht zumutbar, den Ausfuhrnachweis nach Absatz 1 Satz 1 Nummer 2 zu führen, kann er die Ausfuhr wie in Beförderungsfällen nach § 9 Absatz 1 Satz 1 Nummer 2 nachweisen.</w:t>
      </w:r>
    </w:p>
    <w:p>
      <w:r>
        <w:rPr>
          <w:color w:val="555555"/>
          <w:sz w:val="17"/>
        </w:rPr>
        <w:t xml:space="preserve">Zitiervorschlag: § 10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