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UStBMG — Inkrafttreten</w:t>
      </w:r>
    </w:p>
    <w:p>
      <w:r>
        <w:rPr>
          <w:color w:val="555555"/>
          <w:sz w:val="18"/>
        </w:rPr>
        <w:t xml:space="preserve">Umsatzsteuer-Binnenmarktgesetz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vorbehaltlich des Absatzes 2 am 1. Januar 1993 in Kraft.</w:t>
      </w:r>
    </w:p>
    <w:p>
      <w:r>
        <w:t xml:space="preserve">(2) Artikel 11 tritt mit Wirkung vom 1. Januar 1991 in Kraft. Artikel 1 Nr. 34, Artikel 3, Artikel 4 und die Ermächtigungen zum Erlaß von Rechtsverordnungen in Artikel 1 Nr. 6 - § 3b Abs. 1 Satz 3 -, Nr. 7 Buchstabe e - § 4 Nr. 7 Satz 3 -, Nr. 12 - § 6a Abs. 3 -, Nr. 22 Buchstabe e - § 18 Abs. 8 Satz 1 -, Nr. 23 - § 18a Abs. 9 - und in Artikel 2 Nr. 2 Buchstabe a Doppelbuchstabe bb - § 370 Abs. 6 Satz 4 der Abgabenordnung - treten am Tage nach der Verkündung des Gesetzes in Kraft.</w:t>
      </w:r>
    </w:p>
    <w:p>
      <w:r>
        <w:rPr>
          <w:color w:val="555555"/>
          <w:sz w:val="17"/>
        </w:rPr>
        <w:t xml:space="preserve">Zitiervorschlag: Art 12 UStBMG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https://recht.nulegal.eu/gesetze/UStBMG/12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