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UStAuflV (Brandenburg) — Dienstsiegel und Stempel</w:t>
      </w:r>
    </w:p>
    <w:p>
      <w:r>
        <w:rPr>
          <w:color w:val="555555"/>
          <w:sz w:val="18"/>
        </w:rPr>
        <w:t xml:space="preserve">Verordnung über die Auflösung der Urkundenstellen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dem Tag der Auflösung einer Urkundenstelle werden die dort geführten Dienstsiegel und Stempel ungültig. Sie sind gemäß § 5 des Brandenburgischen Archivgesetzes dem zuständigen Kreis- oder Stadtarchiv zur Übernahme anzubieten.</w:t>
      </w:r>
    </w:p>
    <w:p>
      <w:r>
        <w:rPr>
          <w:color w:val="555555"/>
          <w:sz w:val="17"/>
        </w:rPr>
        <w:t xml:space="preserve">Zitiervorschlag: § 5 UStAuflV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https://recht.nulegal.eu/gesetze/UStAuflV/5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