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UStAuflV (Brandenburg) — Voraussetzungen für die Übernahme</w:t>
      </w:r>
    </w:p>
    <w:p>
      <w:r>
        <w:rPr>
          <w:color w:val="555555"/>
          <w:sz w:val="18"/>
        </w:rPr>
        <w:t xml:space="preserve">Verordnung über die Auflösung der Urkundenstellen im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Zur Gewährleistung einer ordnungsgemäßen Aufgabenerfüllung muß vor der Übernahme der Unterlagen die nowendige personelle und sachliche Ausstattung der Standesämter hergestellt sein. Die zuständigen unteren Fachaufsichtsbehörden haben sich hiervon vor der Übergabe der Unterlagen zu überzeugen.</w:t>
      </w:r>
    </w:p>
    <w:p>
      <w:r>
        <w:rPr>
          <w:color w:val="555555"/>
          <w:sz w:val="17"/>
        </w:rPr>
        <w:t xml:space="preserve">Zitiervorschlag: § 4 UStAuflV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https://recht.nulegal.eu/gesetze/UStAuflV/4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