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UStAV 2023 (Brandenburg) — Inkrafttreten, Außerkrafttreten</w:t>
      </w:r>
    </w:p>
    <w:p>
      <w:r>
        <w:rPr>
          <w:color w:val="555555"/>
          <w:sz w:val="18"/>
        </w:rPr>
        <w:t xml:space="preserve">Umsatzsteueraufteilverordnung 2023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mit Wirkung vom 1. Januar 2021 in Kraft. Gleichzeitig tritt die Umsatzsteueraufteilverordnung vom 9. Februar 2015 (GVBl. II Nr. 8) außer Kraft.</w:t>
      </w:r>
    </w:p>
    <w:p>
      <w:r>
        <w:t xml:space="preserve">Einzelnorm</w:t>
      </w:r>
    </w:p>
    <w:p>
      <w:r>
        <w:t xml:space="preserve">Potsdam, den 25. Januar 2021</w:t>
      </w:r>
    </w:p>
    <w:p>
      <w:r>
        <w:t xml:space="preserve">Die Ministerin der Finanzen und für Europa</w:t>
      </w:r>
    </w:p>
    <w:p>
      <w:r>
        <w:t xml:space="preserve">Katrin Lange</w:t>
      </w:r>
    </w:p>
    <w:p>
      <w:r>
        <w:rPr>
          <w:color w:val="555555"/>
          <w:sz w:val="17"/>
        </w:rPr>
        <w:t xml:space="preserve">Zitiervorschlag: § 4 UStAV 2023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https://recht.nulegal.eu/gesetze/UStAV%202023/4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