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UStAV 2023 (Brandenburg) — Berichtigung von Fehlern</w:t>
      </w:r>
    </w:p>
    <w:p>
      <w:r>
        <w:rPr>
          <w:color w:val="555555"/>
          <w:sz w:val="18"/>
        </w:rPr>
        <w:t xml:space="preserve">Umsatzsteueraufteilverordnung 2023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Ausgleichsbeträge nach § 5d Absatz 3 in Verbindung mit § 4 Absatz 1 des Gemeindefinanzreformgesetzes werden nach den Anteilen der einzelnen Gemeinden an dem nach § 5a Absatz 2 des Gemeindefinanzreformgesetzes auf die Gemeinden entfallenden Steueraufkommen errechnet, um die die in der Anlage genannten Anteile zu hoch oder zu niedrig festgesetzt sind.</w:t>
      </w:r>
    </w:p>
    <w:p>
      <w:r>
        <w:t xml:space="preserve">(2) Der Ausgleich ist mit der jeweiligen Schlussabrechnung vorzunehmen. Ein Ausgleich unterbleibt, wenn der auszugleichende Betrag 500 Euro nicht übersteigt.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UStAV 2023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https://recht.nulegal.eu/gesetze/UStAV%202023/2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