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 USchadG — (zu § 3 Absatz 1) Berufliche Tätigkeiten</w:t>
      </w:r>
    </w:p>
    <w:p>
      <w:r>
        <w:rPr>
          <w:color w:val="555555"/>
          <w:sz w:val="18"/>
        </w:rPr>
        <w:t xml:space="preserve">Umweltschadensgesetz</w:t>
      </w:r>
    </w:p>
    <w:p>
      <w:r>
        <w:rPr>
          <w:color w:val="555555"/>
          <w:sz w:val="18"/>
        </w:rPr>
        <w:t xml:space="preserve">Stand: 14.03.2026 (konsolidierte Textfassung, kein amtliches Inkrafttretensdatum)</w:t>
      </w:r>
    </w:p>
    <w:p>
      <w:r>
        <w:t xml:space="preserve">(Fundstelle: BGBl. I 2021, 350; bzgl. der einzelnen Änderungen vgl. Fußnote)</w:t>
      </w:r>
    </w:p>
    <w:p>
      <w:pPr>
        <w:ind w:left="420"/>
      </w:pPr>
      <w:r>
        <w:t xml:space="preserve">1. Betrieb von Anlagen, für den eine Genehmigung gemäß der Richtlinie 2010/75/EU des Europäischen Parlaments und des Rates vom 24. November 2010 über Industrieemissionen (integrierte Vermeidung und Verminderung der Umweltverschmutzung) (Neufassung) (ABl. L 334 vom 17.12.2010, S. 17) erforderlich ist. Dies umfasst alle in Anhang I der Richtlinie 2010/75/EU aufgeführten Tätigkeiten, mit Ausnahme von Anlagen oder Anlagenteilen, die für Zwecke der Forschung, Entwicklung und Prüfung neuer Erzeugnisse und Verfahren genutzt werden.</w:t>
      </w:r>
    </w:p>
    <w:p>
      <w:pPr>
        <w:ind w:left="420"/>
      </w:pPr>
      <w:r>
        <w:t xml:space="preserve">2. Abfallbewirtschaftungsmaßnahmen (die Sammlung, die Beförderung, die Verwertung und die Beseitigung von Abfällen, einschließlich der Überwachung dieser Verfahren, der Nachsorge von Beseitigungsanlagen sowie der Tätigkeiten, die von Händlern und Maklern durchgeführt werden), soweit diese Maßnahmen einer Erlaubnis, einer Genehmigung, einer Anzeige oder einer Planfeststellung nach dem Kreislaufwirtschaftsgesetz bedürfen.Diese Maßnahmen umfassen unter anderem den Betrieb von Deponien, die gemäß § 35 Absatz 2 und 3 des Kreislaufwirtschaftsgesetzes einer Planfeststellung oder Plangenehmigung bedürfen, und den Betrieb von Verbrennungsanlagen, die gemäß § 4 des Bundes-Immissionsschutzgesetzes (BImSchG) in Verbindung mit dem Anhang der Verordnung über genehmigungsbedürftige Anlagen (4. BImSchV) einer Genehmigung bedürfen.</w:t>
      </w:r>
    </w:p>
    <w:p>
      <w:pPr>
        <w:ind w:left="420"/>
      </w:pPr>
      <w:r>
        <w:t xml:space="preserve">3. Einbringung, Einleitung und sonstige Einträge von Schadstoffen in Oberflächengewässer gemäß § 9 Absatz 1 Nummer 4 und Absatz 2 Nummer 2 bis 4 des Wasserhaushaltsgesetzes, die einer Erlaubnis gemäß § 8 Absatz 1 des Wasserhaushaltsgesetzes bedürfen.</w:t>
      </w:r>
    </w:p>
    <w:p>
      <w:pPr>
        <w:ind w:left="420"/>
      </w:pPr>
      <w:r>
        <w:t xml:space="preserve">4. Einbringung, Einleitung und sonstige Einträge von Schadstoffen in das Grundwasser gemäß § 9 Absatz 1 Nummer 4 und Absatz 2 Nummer 2 bis 4 des Wasserhaushaltsgesetzes, die einer Erlaubnis gemäß § 8 Absatz 1 des Wasserhaushaltsgesetzes bedürfen.</w:t>
      </w:r>
    </w:p>
    <w:p>
      <w:pPr>
        <w:ind w:left="420"/>
      </w:pPr>
      <w:r>
        <w:t xml:space="preserve">5. Entnahmen von Wasser aus Gewässern gemäß § 9 Absatz 1 Nummer 1 und 5 des Wasserhaushaltsgesetzes, die einer Erlaubnis oder Bewilligung gemäß § 8 Absatz 1 des Wasserhaushaltsgesetzes bedürfen.</w:t>
      </w:r>
    </w:p>
    <w:p>
      <w:pPr>
        <w:ind w:left="420"/>
      </w:pPr>
      <w:r>
        <w:t xml:space="preserve">6. Aufstauungen von oberirdischen Gewässern gemäß § 9 Absatz 1 Nummer 2 des Wasserhaushaltsgesetzes, die einer Erlaubnis oder Bewilligung gemäß § 8 Absatz 1 oder gemäß § 68 Absatz 1 oder Absatz 2 des Wasserhaushaltsgesetzes einer Planfeststellung oder Plangenehmigung bedürfen.</w:t>
      </w:r>
    </w:p>
    <w:p>
      <w:pPr>
        <w:ind w:left="420"/>
      </w:pPr>
      <w:r>
        <w:t xml:space="preserve">7. Herstellung, Verwendung, Lagerung, Verarbeitung, Abfüllen, Freisetzung in die Umwelt und innerbetriebliche Beförderung von</w:t>
      </w:r>
    </w:p>
    <w:p>
      <w:pPr>
        <w:ind w:left="780"/>
      </w:pPr>
      <w:r>
        <w:t xml:space="preserve">a) gefährlichen Stoffen im Sinne des § 3a Absatz 1 des Chemikaliengesetzes (ChemG);</w:t>
      </w:r>
    </w:p>
    <w:p>
      <w:pPr>
        <w:ind w:left="780"/>
      </w:pPr>
      <w:r>
        <w:t xml:space="preserve">b) gefährlichen Zubereitungen im Sinne des § 3a Absatz 1 ChemG;</w:t>
      </w:r>
    </w:p>
    <w:p>
      <w:pPr>
        <w:ind w:left="780"/>
      </w:pPr>
      <w:r>
        <w:t xml:space="preserve">c) Pflanzenschutzmittel im Sinne des Artikels 2 Absatz 1 der Verordnung (EG) Nr. 1107/2009 des Europäischen Parlaments und des Rates vom 21. Oktober 2009 über das Inverkehrbringen von Pflanzenschutzmitteln und zur Aufhebung der Richtlinien 79/117/EWG und 91/414/EWG des Rates (ABl. L 309 vom 24.11.2009, S. 1);</w:t>
      </w:r>
    </w:p>
    <w:p>
      <w:pPr>
        <w:ind w:left="780"/>
      </w:pPr>
      <w:r>
        <w:t xml:space="preserve">d) Biozid-Produkten im Sinn des Artikel 3 Absatz 1 Buchstabe a der Verordnung (EU) Nr. 528/2012 des Europäischen Parlaments und des Rates vom 22. Mai 2012 über die Bereitstellung auf dem Markt und die Verwendung von Biozidprodukten (ABl. L 167 vom 27.6.2012, S. 1).</w:t>
      </w:r>
    </w:p>
    <w:p>
      <w:pPr>
        <w:ind w:left="420"/>
      </w:pPr>
      <w:r>
        <w:t xml:space="preserve">8. Beförderung gefährlicher oder umweltschädlicher Güter auf der Straße, auf der Schiene, auf Binnengewässern, auf See oder in der Luft gemäß der Definition in § 2 Nummer 7 der Gefahrgutverordnung Straße, Eisenbahn und Binnenschifffahrt oder der Definition in den Nummern 1.3 und 1.4 der Anlage zu § 1 Absatz 1 der Anlaufbedingungsverordnung.</w:t>
      </w:r>
    </w:p>
    <w:p>
      <w:pPr>
        <w:ind w:left="420"/>
      </w:pPr>
      <w:r>
        <w:t xml:space="preserve">9. (weggefallen)</w:t>
      </w:r>
    </w:p>
    <w:p>
      <w:pPr>
        <w:ind w:left="420"/>
      </w:pPr>
      <w:r>
        <w:t xml:space="preserve">10. Gentechnische Arbeiten gemäß der Definition in § 3 Nummer 2 des Gentechnikgesetzes (GenTG) an Mikroorganismen in gentechnischen Anlagen gemäß der Definition in § 3 Nummer 4 GenTG sowie der außerbetriebliche Transport gentechnisch veränderter Mikroorganismen.</w:t>
      </w:r>
    </w:p>
    <w:p>
      <w:pPr>
        <w:ind w:left="420"/>
      </w:pPr>
      <w:r>
        <w:t xml:space="preserve">11. Jede absichtliche Freisetzung genetisch veränderter Organismen in die Umwelt gemäß der Definition in § 3 Nummer 5 erster Halbsatz GenTG sowie der Transport und das Inverkehrbringen gemäß der Definition in § 3 Nummer 6 GenTG dieser Organismen.</w:t>
      </w:r>
    </w:p>
    <w:p>
      <w:pPr>
        <w:ind w:left="420"/>
      </w:pPr>
      <w:r>
        <w:t xml:space="preserve">12. Grenzüberschreitende Verbringung von Abfällen in der, in die oder aus der Europäischen Union, für die eine Zustimmungspflicht oder ein Verbot im Sinne der Verordnung (EG) Nr. 1013/2006 des Europäischen Parlaments und des Rates vom 14. Juni 2006 über die Verbringung von Abfällen besteht.</w:t>
      </w:r>
    </w:p>
    <w:p>
      <w:pPr>
        <w:ind w:left="420"/>
      </w:pPr>
      <w:r>
        <w:t xml:space="preserve">13. Bewirtschaftung von mineralischen Abfällen gemäß der Richtlinie 2006/21/EG des Europäischen Parlaments und des Rates vom 15. März 2006 über die Bewirtschaftung von Abfällen aus der mineralgewinnenden Industrie.</w:t>
      </w:r>
    </w:p>
    <w:p>
      <w:pPr>
        <w:ind w:left="420"/>
      </w:pPr>
      <w:r>
        <w:t xml:space="preserve">14. Betrieb von Kohlendioxidspeichern nach § 3 Nummer 7 des Kohlendioxid-Speicherung-und-Transport-Gesetzes.</w:t>
      </w:r>
    </w:p>
    <w:p>
      <w:r>
        <w:rPr>
          <w:color w:val="555555"/>
          <w:sz w:val="17"/>
        </w:rPr>
        <w:t xml:space="preserve">Zitiervorschlag: Anlage 1 USchadG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https://recht.nulegal.eu/gesetze/USchadG/anlage-1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 USchadG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