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USchadG — Sanierungspflicht</w:t>
      </w:r>
    </w:p>
    <w:p>
      <w:r>
        <w:rPr>
          <w:color w:val="555555"/>
          <w:sz w:val="18"/>
        </w:rPr>
        <w:t xml:space="preserve">Umweltschadensgesetz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Ist ein Umweltschaden eingetreten, hat der Verantwortliche</w:t>
      </w:r>
    </w:p>
    <w:p>
      <w:pPr>
        <w:ind w:left="420"/>
      </w:pPr>
      <w:r>
        <w:t xml:space="preserve">1. die erforderlichen Schadensbegrenzungsmaßnahmen vorzunehmen,</w:t>
      </w:r>
    </w:p>
    <w:p>
      <w:pPr>
        <w:ind w:left="420"/>
      </w:pPr>
      <w:r>
        <w:t xml:space="preserve">2. die erforderlichen Sanierungsmaßnahmen gemäß § 8 zu ergreifen.</w:t>
      </w:r>
    </w:p>
    <w:p>
      <w:r>
        <w:rPr>
          <w:color w:val="555555"/>
          <w:sz w:val="17"/>
        </w:rPr>
        <w:t xml:space="preserve">Zitiervorschlag: § 6 USchadG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https://recht.nulegal.eu/gesetze/USchadG/6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