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USchadG — Gefahrenabwehrpflicht</w:t>
      </w:r>
    </w:p>
    <w:p>
      <w:r>
        <w:rPr>
          <w:color w:val="555555"/>
          <w:sz w:val="18"/>
        </w:rPr>
        <w:t xml:space="preserve">Umweltschadensgesetz</w:t>
      </w:r>
    </w:p>
    <w:p>
      <w:r>
        <w:rPr>
          <w:color w:val="555555"/>
          <w:sz w:val="18"/>
        </w:rPr>
        <w:t xml:space="preserve">Stand: 01.09.2021 (konsolidierte Textfassung, kein amtliches Inkrafttretensdatum)</w:t>
      </w:r>
    </w:p>
    <w:p>
      <w:r>
        <w:t xml:space="preserve">Besteht die unmittelbare Gefahr eines Umweltschadens, hat der Verantwortliche unverzüglich die erforderlichen Vermeidungsmaßnahmen zu ergreifen.</w:t>
      </w:r>
    </w:p>
    <w:p>
      <w:r>
        <w:rPr>
          <w:color w:val="555555"/>
          <w:sz w:val="17"/>
        </w:rPr>
        <w:t xml:space="preserve">Zitiervorschlag: § 5 USchadG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https://recht.nulegal.eu/gesetze/USchadG/5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