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USchadG — Informationspflicht</w:t>
      </w:r>
    </w:p>
    <w:p>
      <w:r>
        <w:rPr>
          <w:color w:val="555555"/>
          <w:sz w:val="18"/>
        </w:rPr>
        <w:t xml:space="preserve">Umweltschadensgesetz</w:t>
      </w:r>
    </w:p>
    <w:p>
      <w:r>
        <w:rPr>
          <w:color w:val="555555"/>
          <w:sz w:val="18"/>
        </w:rPr>
        <w:t xml:space="preserve">Stand: 01.09.2021 (konsolidierte Textfassung, kein amtliches Inkrafttretensdatum)</w:t>
      </w:r>
    </w:p>
    <w:p>
      <w:r>
        <w:t xml:space="preserve">Besteht die unmittelbare Gefahr eines Umweltschadens oder ist ein Umweltschaden eingetreten, hat der Verantwortliche die zuständige Behörde unverzüglich über alle bedeutsamen Aspekte des Sachverhalts zu unterrichten.</w:t>
      </w:r>
    </w:p>
    <w:p>
      <w:r>
        <w:rPr>
          <w:color w:val="555555"/>
          <w:sz w:val="17"/>
        </w:rPr>
        <w:t xml:space="preserve">Zitiervorschlag: § 4 USchadG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https://recht.nulegal.eu/gesetze/USchadG/4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