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USchadG — Übergangsvorschrift zu Anlage 1</w:t>
      </w:r>
    </w:p>
    <w:p>
      <w:r>
        <w:rPr>
          <w:color w:val="555555"/>
          <w:sz w:val="18"/>
        </w:rPr>
        <w:t xml:space="preserve">Umweltschadensgesetz</w:t>
      </w:r>
    </w:p>
    <w:p>
      <w:r>
        <w:rPr>
          <w:color w:val="555555"/>
          <w:sz w:val="18"/>
        </w:rPr>
        <w:t xml:space="preserve">Stand: 01.09.2021 (konsolidierte Textfassung, kein amtliches Inkrafttretensdatum)</w:t>
      </w:r>
    </w:p>
    <w:p>
      <w:r>
        <w:t xml:space="preserve">Für Verbringungen von Abfällen, die Artikel 62 Absatz 1 der Verordnung (EG) Nr. 1013/2006 des Europäischen Parlaments und des Rates vom 14. Juni 2006 über die Verbringung von Abfällen unterliegen, ist § 3 Absatz 1 in Verbindung mit Anlage 1 (zu § 3 Absatz 1) Nummer 12 in der Fassung von Artikel 1 des Gesetzes zur Umsetzung der Richtlinie des Europäischen Parlaments und des Rates über die Umwelthaftung zur Vermeidung und Sanierung von Umweltschäden vom 10. Mai 2007 (BGBl. I S. 666) anzuwenden.</w:t>
      </w:r>
    </w:p>
    <w:p>
      <w:r>
        <w:rPr>
          <w:color w:val="555555"/>
          <w:sz w:val="17"/>
        </w:rPr>
        <w:t xml:space="preserve">Zitiervorschlag: § 14 USchadG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https://recht.nulegal.eu/gesetze/USchadG/14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