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USchadG — Rechtsschutz</w:t>
      </w:r>
    </w:p>
    <w:p>
      <w:r>
        <w:rPr>
          <w:color w:val="555555"/>
          <w:sz w:val="18"/>
        </w:rPr>
        <w:t xml:space="preserve">Umweltschadensgesetz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Ein Verwaltungsakt nach diesem Gesetz ist zu begründen und mit einer Rechtsbehelfsbelehrung zu versehen.</w:t>
      </w:r>
    </w:p>
    <w:p>
      <w:r>
        <w:t xml:space="preserve">(2) Für Rechtsbehelfe von Vereinigungen gegen eine Entscheidung oder das Unterlassen einer Entscheidung der zuständigen Behörde nach diesem Gesetz gilt das Umwelt-Rechtsbehelfsgesetz.</w:t>
      </w:r>
    </w:p>
    <w:p>
      <w:r>
        <w:rPr>
          <w:color w:val="555555"/>
          <w:sz w:val="17"/>
        </w:rPr>
        <w:t xml:space="preserve">Zitiervorschlag: § 11 USchadG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https://recht.nulegal.eu/gesetze/USchadG/11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