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USchadG — Verhältnis zu anderen Vorschriften</w:t>
      </w:r>
    </w:p>
    <w:p>
      <w:r>
        <w:rPr>
          <w:color w:val="555555"/>
          <w:sz w:val="18"/>
        </w:rPr>
        <w:t xml:space="preserve">Umweltschadensgesetz</w:t>
      </w:r>
    </w:p>
    <w:p>
      <w:r>
        <w:rPr>
          <w:color w:val="555555"/>
          <w:sz w:val="18"/>
        </w:rPr>
        <w:t xml:space="preserve">Stand: 01.09.2021 (konsolidierte Textfassung, kein amtliches Inkrafttretensdatum)</w:t>
      </w:r>
    </w:p>
    <w:p>
      <w:r>
        <w:t xml:space="preserve">Dieses Gesetz findet Anwendung, soweit Rechtsvorschriften des Bundes oder der Länder die Vermeidung und Sanierung von Umweltschäden nicht näher bestimmen oder in ihren Anforderungen diesem Gesetz nicht entsprechen. Rechtsvorschriften mit weitergehenden Anforderungen bleiben unberührt.</w:t>
      </w:r>
    </w:p>
    <w:p>
      <w:r>
        <w:rPr>
          <w:color w:val="555555"/>
          <w:sz w:val="17"/>
        </w:rPr>
        <w:t xml:space="preserve">Zitiervorschlag: § 1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