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USG 2020 — Ruhen der Leistungen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 Leistungen nach diesem Gesetz ruhen</w:t>
      </w:r>
    </w:p>
    <w:p>
      <w:pPr>
        <w:ind w:left="420"/>
      </w:pPr>
      <w:r>
        <w:t xml:space="preserve">1. während einer Beurlaubung ohne Geld- und Sachbezüge,</w:t>
      </w:r>
    </w:p>
    <w:p>
      <w:pPr>
        <w:ind w:left="420"/>
      </w:pPr>
      <w:r>
        <w:t xml:space="preserve">2. während einer gerichtlich angeordneten Freiheitsentziehung,</w:t>
      </w:r>
    </w:p>
    <w:p>
      <w:pPr>
        <w:ind w:left="420"/>
      </w:pPr>
      <w:r>
        <w:t xml:space="preserve">3. während eines eigenmächtigen Fernbleibens von der Truppe oder der Dienststelle.</w:t>
      </w:r>
    </w:p>
    <w:p>
      <w:r>
        <w:rPr>
          <w:color w:val="555555"/>
          <w:sz w:val="17"/>
        </w:rPr>
        <w:t xml:space="preserve">Zitiervorschlag: § 4 USG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https://recht.nulegal.eu/gesetze/USG%202020/4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