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USG 2020 — Bußgeldvorschriften</w:t>
      </w:r>
    </w:p>
    <w:p>
      <w:r>
        <w:rPr>
          <w:color w:val="555555"/>
          <w:sz w:val="18"/>
        </w:rPr>
        <w:t xml:space="preserve">Unterhaltssicherungsgesetz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Ordnungswidrig handelt, wer vorsätzlich oder fahrlässig</w:t>
      </w:r>
    </w:p>
    <w:p>
      <w:pPr>
        <w:ind w:left="420"/>
      </w:pPr>
      <w:r>
        <w:t xml:space="preserve">1. entgegen § 27 Absatz 1 eine Angabe nicht richtig macht,</w:t>
      </w:r>
    </w:p>
    <w:p>
      <w:pPr>
        <w:ind w:left="420"/>
      </w:pPr>
      <w:r>
        <w:t xml:space="preserve">2. entgegen § 27 Absatz 2 eine Mitteilung nicht, nicht richtig, nicht vollständig oder nicht rechtzeitig macht oder</w:t>
      </w:r>
    </w:p>
    <w:p>
      <w:pPr>
        <w:ind w:left="420"/>
      </w:pPr>
      <w:r>
        <w:t xml:space="preserve">3. entgegen § 27 Absatz 3 eine Auskunft nicht, nicht richtig, nicht vollständig oder nicht rechtzeitig erteilt.</w:t>
      </w:r>
    </w:p>
    <w:p>
      <w:r>
        <w:t xml:space="preserve">(2) Die Ordnungswidrigkeit kann mit einer Geldbuße bis zu dreitausend Euro geahndet werden.</w:t>
      </w:r>
    </w:p>
    <w:p>
      <w:r>
        <w:t xml:space="preserve">(3) Verwaltungsbehörde im Sinne des § 36 Absatz 1 Nummer 1 des Gesetzes über Ordnungswidrigkeiten ist das Bundesamt für das Personalmanagement der Bundeswehr.</w:t>
      </w:r>
    </w:p>
    <w:p>
      <w:r>
        <w:rPr>
          <w:color w:val="555555"/>
          <w:sz w:val="17"/>
        </w:rPr>
        <w:t xml:space="preserve">Zitiervorschlag: § 30 USG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https://recht.nulegal.eu/gesetze/USG%202020/30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